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3"/>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8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jc w:val="center"/>
              <w:rPr>
                <w:sz w:val="28"/>
                <w:szCs w:val="28"/>
              </w:rPr>
            </w:pPr>
            <w:r>
              <w:rPr>
                <w:rFonts w:hint="eastAsia"/>
                <w:sz w:val="28"/>
                <w:szCs w:val="28"/>
              </w:rPr>
              <w:t>项目名称</w:t>
            </w:r>
          </w:p>
        </w:tc>
        <w:tc>
          <w:tcPr>
            <w:tcW w:w="8678" w:type="dxa"/>
            <w:tcBorders>
              <w:top w:val="single" w:color="auto" w:sz="4" w:space="0"/>
              <w:left w:val="single" w:color="auto" w:sz="4" w:space="0"/>
              <w:bottom w:val="single" w:color="auto" w:sz="4" w:space="0"/>
              <w:right w:val="single" w:color="auto" w:sz="4" w:space="0"/>
            </w:tcBorders>
            <w:noWrap w:val="0"/>
            <w:vAlign w:val="top"/>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ind w:firstLine="120" w:firstLineChars="50"/>
              <w:jc w:val="center"/>
              <w:rPr>
                <w:sz w:val="24"/>
              </w:rPr>
            </w:pPr>
            <w:r>
              <w:rPr>
                <w:rFonts w:hint="eastAsia"/>
                <w:sz w:val="24"/>
              </w:rPr>
              <w:t>申购设备名称</w:t>
            </w:r>
          </w:p>
        </w:tc>
        <w:tc>
          <w:tcPr>
            <w:tcW w:w="867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color w:val="000000" w:themeColor="text1"/>
                <w:sz w:val="24"/>
                <w:lang w:val="en-US" w:eastAsia="zh-CN"/>
                <w14:textFill>
                  <w14:solidFill>
                    <w14:schemeClr w14:val="tx1"/>
                  </w14:solidFill>
                </w14:textFill>
              </w:rPr>
              <w:t>多通道荧光定量分析仪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用途及适用人群</w:t>
            </w:r>
          </w:p>
        </w:tc>
        <w:tc>
          <w:tcPr>
            <w:tcW w:w="8678" w:type="dxa"/>
            <w:tcBorders>
              <w:top w:val="single" w:color="auto" w:sz="4" w:space="0"/>
              <w:left w:val="single" w:color="auto" w:sz="4" w:space="0"/>
              <w:bottom w:val="single" w:color="auto" w:sz="4" w:space="0"/>
              <w:right w:val="single" w:color="auto" w:sz="4" w:space="0"/>
            </w:tcBorders>
            <w:noWrap w:val="0"/>
            <w:vAlign w:val="top"/>
          </w:tcPr>
          <w:p>
            <w:pPr>
              <w:rPr>
                <w:sz w:val="24"/>
                <w:szCs w:val="24"/>
              </w:rPr>
            </w:pPr>
            <w:r>
              <w:rPr>
                <w:rFonts w:hint="eastAsia" w:ascii="宋体" w:hAnsi="宋体"/>
                <w:sz w:val="24"/>
                <w:szCs w:val="24"/>
              </w:rPr>
              <w:t>用于化学药物基因检测，适用于药物治疗效果不佳的的某些病人：如脑卒中患者;高血压患者;高血脂症患者;痛风患者;癫痫患者。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设备的功能要求</w:t>
            </w:r>
          </w:p>
        </w:tc>
        <w:tc>
          <w:tcPr>
            <w:tcW w:w="86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ind w:left="0" w:firstLine="480" w:firstLineChars="200"/>
              <w:jc w:val="both"/>
              <w:textAlignment w:val="auto"/>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分析仪应适用于科研院所、医疗机构等单位的病原体诊断、药物基因检测、基因测序、原位杂交、以及核酸探针检测等领域，且该仪器必须为临床IVD设备，禁止科研机。对分析仪的功能要求如下：</w:t>
            </w:r>
          </w:p>
          <w:p>
            <w:pPr>
              <w:keepNext w:val="0"/>
              <w:keepLines w:val="0"/>
              <w:widowControl/>
              <w:suppressLineNumbers w:val="0"/>
              <w:ind w:firstLine="240" w:firstLineChars="100"/>
              <w:jc w:val="left"/>
              <w:textAlignment w:val="cente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1： ★能提供自动化分析报告平台</w:t>
            </w:r>
            <w:r>
              <w:rPr>
                <w:rFonts w:hint="eastAsia" w:ascii="宋体" w:hAnsi="宋体" w:cs="宋体"/>
                <w:i w:val="0"/>
                <w:iCs w:val="0"/>
                <w:color w:val="000000" w:themeColor="text1"/>
                <w:kern w:val="0"/>
                <w:sz w:val="24"/>
                <w:szCs w:val="24"/>
                <w:u w:val="none"/>
                <w:lang w:val="en-US" w:eastAsia="zh-CN" w:bidi="ar"/>
                <w14:textFill>
                  <w14:solidFill>
                    <w14:schemeClr w14:val="tx1"/>
                  </w14:solidFill>
                </w14:textFill>
              </w:rPr>
              <w:t>。</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2： 自动报告系统须取得国家计算机软件著作权。</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3： 知识库需依据循证依据（生物医学文献、FDA、NMPA、NCCN指南、CPIC指南、DPWG指南以及国内外权威数据库等）.</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4：★临床药物基因组学系统需通过ISO认证。</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5: 数据库需每年免费更新。</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6: 报告系统可以根据医院情况自己增加用药建议。</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7: 报告展现的基因位点数据需注明参考依据。</w:t>
            </w:r>
          </w:p>
          <w:p>
            <w:pPr>
              <w:keepNext w:val="0"/>
              <w:keepLines w:val="0"/>
              <w:widowControl/>
              <w:suppressLineNumbers w:val="0"/>
              <w:ind w:firstLine="240" w:firstLineChars="100"/>
              <w:jc w:val="left"/>
              <w:textAlignment w:val="cente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8: 报告系统能为医院科研提供分析以及相应支持。</w:t>
            </w:r>
          </w:p>
          <w:p>
            <w:pPr>
              <w:keepNext w:val="0"/>
              <w:keepLines w:val="0"/>
              <w:pageBreakBefore w:val="0"/>
              <w:widowControl/>
              <w:kinsoku/>
              <w:wordWrap/>
              <w:overflowPunct/>
              <w:topLinePunct w:val="0"/>
              <w:autoSpaceDE/>
              <w:autoSpaceDN/>
              <w:bidi w:val="0"/>
              <w:adjustRightInd/>
              <w:snapToGrid/>
              <w:ind w:left="0" w:firstLine="240" w:firstLineChars="100"/>
              <w:jc w:val="both"/>
              <w:textAlignment w:val="auto"/>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u w:val="none"/>
                <w:lang w:val="en-US" w:eastAsia="zh-CN" w:bidi="ar"/>
                <w14:textFill>
                  <w14:solidFill>
                    <w14:schemeClr w14:val="tx1"/>
                  </w14:solidFill>
                </w14:textFill>
              </w:rPr>
              <w:t>9: ★若患者既往在本院检测过，输入基本信息后，系统能够自动检索既往报告，实现查重。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功能的技术指标及其他技术参数</w:t>
            </w:r>
          </w:p>
        </w:tc>
        <w:tc>
          <w:tcPr>
            <w:tcW w:w="8678" w:type="dxa"/>
            <w:tcBorders>
              <w:top w:val="single" w:color="auto" w:sz="4" w:space="0"/>
              <w:left w:val="single" w:color="auto" w:sz="4" w:space="0"/>
              <w:bottom w:val="single" w:color="auto" w:sz="4" w:space="0"/>
              <w:right w:val="single" w:color="auto" w:sz="4" w:space="0"/>
            </w:tcBorders>
            <w:noWrap w:val="0"/>
            <w:vAlign w:val="top"/>
          </w:tcPr>
          <w:p>
            <w:pPr>
              <w:numPr>
                <w:ilvl w:val="0"/>
                <w:numId w:val="0"/>
              </w:num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软、硬件的配置要求</w:t>
            </w:r>
          </w:p>
        </w:tc>
        <w:tc>
          <w:tcPr>
            <w:tcW w:w="86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ind w:left="720" w:hanging="720" w:hangingChars="300"/>
              <w:jc w:val="both"/>
              <w:textAlignment w:val="auto"/>
              <w:rPr>
                <w:rFonts w:hint="eastAsia"/>
                <w:color w:val="000000" w:themeColor="text1"/>
                <w:sz w:val="24"/>
                <w:lang w:val="en-US" w:eastAsia="zh-CN"/>
                <w14:textFill>
                  <w14:solidFill>
                    <w14:schemeClr w14:val="tx1"/>
                  </w14:solidFill>
                </w14:textFill>
              </w:rPr>
            </w:pPr>
            <w:r>
              <w:rPr>
                <w:rFonts w:hint="eastAsia"/>
                <w:sz w:val="24"/>
                <w:szCs w:val="24"/>
                <w:lang w:eastAsia="zh-CN"/>
              </w:rPr>
              <w:t>硬件：</w:t>
            </w:r>
            <w:r>
              <w:rPr>
                <w:rFonts w:hint="eastAsia"/>
                <w:sz w:val="24"/>
                <w:szCs w:val="24"/>
                <w:lang w:val="en-US" w:eastAsia="zh-CN"/>
              </w:rPr>
              <w:t>1台</w:t>
            </w:r>
            <w:r>
              <w:rPr>
                <w:rFonts w:hint="eastAsia"/>
                <w:color w:val="000000" w:themeColor="text1"/>
                <w:sz w:val="24"/>
                <w:lang w:val="en-US" w:eastAsia="zh-CN"/>
                <w14:textFill>
                  <w14:solidFill>
                    <w14:schemeClr w14:val="tx1"/>
                  </w14:solidFill>
                </w14:textFill>
              </w:rPr>
              <w:t>多通道荧光定量分析仪、1套台式计算机（包括显示器、主机、键盘、鼠标、UPS电源驱动）、高速离心机、掌式加热离心机、</w:t>
            </w:r>
            <w:r>
              <w:rPr>
                <w:rFonts w:hint="eastAsia" w:ascii="宋体" w:hAnsi="宋体" w:cs="宋体"/>
                <w:color w:val="auto"/>
                <w:sz w:val="24"/>
                <w:szCs w:val="24"/>
                <w:lang w:eastAsia="zh-CN"/>
              </w:rPr>
              <w:t>小型</w:t>
            </w:r>
            <w:r>
              <w:rPr>
                <w:rFonts w:hint="eastAsia"/>
                <w:color w:val="000000" w:themeColor="text1"/>
                <w:sz w:val="24"/>
                <w:lang w:val="en-US" w:eastAsia="zh-CN"/>
                <w14:textFill>
                  <w14:solidFill>
                    <w14:schemeClr w14:val="tx1"/>
                  </w14:solidFill>
                </w14:textFill>
              </w:rPr>
              <w:t>旋涡混匀器、打印机、冰箱。</w:t>
            </w:r>
          </w:p>
          <w:p>
            <w:pPr>
              <w:keepNext w:val="0"/>
              <w:keepLines w:val="0"/>
              <w:pageBreakBefore w:val="0"/>
              <w:widowControl/>
              <w:kinsoku/>
              <w:wordWrap/>
              <w:overflowPunct/>
              <w:topLinePunct w:val="0"/>
              <w:autoSpaceDE/>
              <w:autoSpaceDN/>
              <w:bidi w:val="0"/>
              <w:adjustRightInd/>
              <w:snapToGrid/>
              <w:ind w:left="720" w:hanging="720" w:hangingChars="300"/>
              <w:jc w:val="both"/>
              <w:textAlignment w:val="auto"/>
              <w:rPr>
                <w:rFonts w:hint="eastAsia"/>
                <w:sz w:val="24"/>
              </w:rPr>
            </w:pPr>
            <w:r>
              <w:rPr>
                <w:rFonts w:hint="eastAsia"/>
                <w:color w:val="000000" w:themeColor="text1"/>
                <w:sz w:val="24"/>
                <w:lang w:val="en-US" w:eastAsia="zh-CN"/>
                <w14:textFill>
                  <w14:solidFill>
                    <w14:schemeClr w14:val="tx1"/>
                  </w14:solidFill>
                </w14:textFill>
              </w:rPr>
              <w:t>软件：操作系统（Windows10/11 64位专业版）、Office、检验系统接口程序、医院HIS信息系统对接插件、数据导出解析软件、专用分型辅助软件、仪器校准管理软件、数据备份归档工具等。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其它要求</w:t>
            </w:r>
          </w:p>
        </w:tc>
        <w:tc>
          <w:tcPr>
            <w:tcW w:w="8678" w:type="dxa"/>
            <w:tcBorders>
              <w:top w:val="single" w:color="auto" w:sz="4" w:space="0"/>
              <w:left w:val="single" w:color="auto" w:sz="4" w:space="0"/>
              <w:bottom w:val="single" w:color="auto" w:sz="4" w:space="0"/>
              <w:right w:val="single" w:color="auto" w:sz="4" w:space="0"/>
            </w:tcBorders>
            <w:noWrap w:val="0"/>
            <w:vAlign w:val="top"/>
          </w:tcPr>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设备使用期≥</w:t>
            </w:r>
            <w:r>
              <w:rPr>
                <w:rFonts w:hint="eastAsia" w:ascii="宋体" w:hAnsi="宋体" w:cs="宋体"/>
                <w:b/>
                <w:bCs/>
                <w:color w:val="C00000"/>
                <w:sz w:val="24"/>
                <w:szCs w:val="24"/>
                <w:lang w:val="en-US" w:eastAsia="zh-CN"/>
              </w:rPr>
              <w:t>5</w:t>
            </w:r>
            <w:r>
              <w:rPr>
                <w:rFonts w:hint="eastAsia" w:ascii="宋体" w:hAnsi="宋体" w:eastAsia="宋体" w:cs="宋体"/>
                <w:color w:val="auto"/>
                <w:sz w:val="24"/>
                <w:szCs w:val="24"/>
              </w:rPr>
              <w:t>年，设备的生产日期和合同签订的时间间隔不大于6个月。</w:t>
            </w: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b/>
                <w:bCs/>
                <w:color w:val="FF0000"/>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整机免费质保≥</w:t>
            </w:r>
            <w:r>
              <w:rPr>
                <w:rFonts w:hint="eastAsia" w:ascii="宋体" w:hAnsi="宋体" w:eastAsia="宋体" w:cs="宋体"/>
                <w:b/>
                <w:bCs/>
                <w:color w:val="C00000"/>
                <w:sz w:val="24"/>
                <w:szCs w:val="24"/>
                <w:lang w:val="en-US" w:eastAsia="zh-CN"/>
              </w:rPr>
              <w:t>5</w:t>
            </w:r>
            <w:r>
              <w:rPr>
                <w:rFonts w:hint="eastAsia" w:ascii="宋体" w:hAnsi="宋体" w:eastAsia="宋体" w:cs="宋体"/>
                <w:color w:val="auto"/>
                <w:sz w:val="24"/>
                <w:szCs w:val="24"/>
              </w:rPr>
              <w:t>年；设备设计使用的耗材必须为开放的耗材，并提供阳光网能点配价格，</w:t>
            </w:r>
            <w:r>
              <w:rPr>
                <w:rFonts w:hint="eastAsia" w:ascii="宋体" w:hAnsi="宋体" w:eastAsia="宋体" w:cs="宋体"/>
                <w:b/>
                <w:bCs/>
                <w:color w:val="FF0000"/>
                <w:sz w:val="24"/>
                <w:szCs w:val="24"/>
              </w:rPr>
              <w:t>验收时提供三个以上厂家的耗材使用进行验收。</w:t>
            </w: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验收同时提供纸质版和电子版产品说明书。供货时应同时附上中文使用说明书（包括纸质版和电子版）。</w:t>
            </w: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为确保设备的售后服务质量，乙方必须提供其厂家免费质保</w:t>
            </w:r>
            <w:r>
              <w:rPr>
                <w:rFonts w:hint="eastAsia" w:ascii="宋体" w:hAnsi="宋体" w:cs="宋体"/>
                <w:color w:val="auto"/>
                <w:sz w:val="24"/>
                <w:szCs w:val="24"/>
                <w:lang w:eastAsia="zh-CN"/>
              </w:rPr>
              <w:t>五</w:t>
            </w:r>
            <w:r>
              <w:rPr>
                <w:rFonts w:hint="eastAsia" w:ascii="宋体" w:hAnsi="宋体" w:eastAsia="宋体" w:cs="宋体"/>
                <w:color w:val="auto"/>
                <w:sz w:val="24"/>
                <w:szCs w:val="24"/>
              </w:rPr>
              <w:t>年的售后服务承诺书，包括设备厂家提供产品的终身免费升级服务。</w:t>
            </w: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设备数据涉及接入我院</w:t>
            </w:r>
            <w:r>
              <w:rPr>
                <w:rFonts w:hint="eastAsia" w:ascii="宋体" w:hAnsi="宋体" w:eastAsia="宋体" w:cs="宋体"/>
                <w:b/>
                <w:bCs/>
                <w:color w:val="C00000"/>
                <w:sz w:val="24"/>
                <w:szCs w:val="24"/>
              </w:rPr>
              <w:t>HIS</w:t>
            </w:r>
            <w:r>
              <w:rPr>
                <w:rFonts w:hint="eastAsia" w:ascii="宋体" w:hAnsi="宋体" w:eastAsia="宋体" w:cs="宋体"/>
                <w:b/>
                <w:bCs/>
                <w:color w:val="C00000"/>
                <w:sz w:val="24"/>
                <w:szCs w:val="24"/>
                <w:lang w:val="en-US"/>
              </w:rPr>
              <w:t>/LIS/PACS</w:t>
            </w:r>
            <w:r>
              <w:rPr>
                <w:rFonts w:hint="eastAsia" w:ascii="宋体" w:hAnsi="宋体" w:eastAsia="宋体" w:cs="宋体"/>
                <w:color w:val="auto"/>
                <w:sz w:val="24"/>
                <w:szCs w:val="24"/>
              </w:rPr>
              <w:t>网络的，验收时按我院要求能查询到HIS网络数据</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产生的费用全部由中标方承担。</w:t>
            </w: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在广西省内设有办事处，配备售后服务工程师，定期巡检培训；</w:t>
            </w:r>
          </w:p>
          <w:p>
            <w:pPr>
              <w:pStyle w:val="6"/>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产品零配件国内供应及时；设备主机保修≥</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年；终身维护；</w:t>
            </w:r>
          </w:p>
          <w:p>
            <w:pPr>
              <w:keepNext w:val="0"/>
              <w:keepLines w:val="0"/>
              <w:pageBreakBefore w:val="0"/>
              <w:widowControl w:val="0"/>
              <w:kinsoku/>
              <w:wordWrap/>
              <w:overflowPunct/>
              <w:topLinePunct w:val="0"/>
              <w:autoSpaceDE/>
              <w:autoSpaceDN/>
              <w:bidi w:val="0"/>
              <w:spacing w:line="24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维修响应时间：2小时响应，48小时未解决问题提供备用机使用。</w:t>
            </w:r>
          </w:p>
          <w:p>
            <w:pPr>
              <w:keepNext w:val="0"/>
              <w:keepLines w:val="0"/>
              <w:pageBreakBefore w:val="0"/>
              <w:widowControl w:val="0"/>
              <w:kinsoku/>
              <w:wordWrap/>
              <w:overflowPunct/>
              <w:topLinePunct w:val="0"/>
              <w:autoSpaceDE/>
              <w:autoSpaceDN/>
              <w:bidi w:val="0"/>
              <w:spacing w:line="24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为确保设备的</w:t>
            </w:r>
            <w:r>
              <w:rPr>
                <w:rFonts w:hint="eastAsia" w:ascii="宋体" w:hAnsi="宋体" w:cs="宋体"/>
                <w:color w:val="auto"/>
                <w:sz w:val="24"/>
                <w:szCs w:val="24"/>
                <w:lang w:eastAsia="zh-CN"/>
              </w:rPr>
              <w:t>正常使用，乙方应提供整套</w:t>
            </w:r>
            <w:r>
              <w:rPr>
                <w:rFonts w:hint="eastAsia"/>
                <w:color w:val="000000" w:themeColor="text1"/>
                <w:sz w:val="24"/>
                <w:lang w:val="en-US" w:eastAsia="zh-CN"/>
                <w14:textFill>
                  <w14:solidFill>
                    <w14:schemeClr w14:val="tx1"/>
                  </w14:solidFill>
                </w14:textFill>
              </w:rPr>
              <w:t>台式计算机（包含UPS电源驱动）、高速离心机、掌式加热离心机</w:t>
            </w:r>
            <w:r>
              <w:rPr>
                <w:rFonts w:hint="eastAsia" w:ascii="宋体" w:hAnsi="宋体" w:cs="宋体"/>
                <w:color w:val="auto"/>
                <w:sz w:val="24"/>
                <w:szCs w:val="24"/>
                <w:lang w:eastAsia="zh-CN"/>
              </w:rPr>
              <w:t>、小型</w:t>
            </w:r>
            <w:r>
              <w:rPr>
                <w:rFonts w:hint="eastAsia"/>
                <w:color w:val="000000" w:themeColor="text1"/>
                <w:sz w:val="24"/>
                <w:lang w:val="en-US" w:eastAsia="zh-CN"/>
                <w14:textFill>
                  <w14:solidFill>
                    <w14:schemeClr w14:val="tx1"/>
                  </w14:solidFill>
                </w14:textFill>
              </w:rPr>
              <w:t>旋涡混匀器</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2套</w:t>
            </w:r>
            <w:r>
              <w:rPr>
                <w:rFonts w:hint="eastAsia" w:ascii="宋体" w:hAnsi="宋体" w:cs="宋体"/>
                <w:color w:val="auto"/>
                <w:sz w:val="24"/>
                <w:szCs w:val="24"/>
                <w:lang w:eastAsia="zh-CN"/>
              </w:rPr>
              <w:t>移液枪（</w:t>
            </w:r>
            <w:r>
              <w:rPr>
                <w:rFonts w:hint="eastAsia" w:ascii="宋体" w:hAnsi="宋体" w:cs="宋体"/>
                <w:color w:val="auto"/>
                <w:sz w:val="24"/>
                <w:szCs w:val="24"/>
                <w:vertAlign w:val="baseline"/>
                <w:lang w:val="en-US" w:eastAsia="zh-CN"/>
              </w:rPr>
              <w:t>10ul、200ul、1000ul、试管架</w:t>
            </w:r>
            <w:r>
              <w:rPr>
                <w:rFonts w:hint="eastAsia" w:ascii="宋体" w:hAnsi="宋体" w:cs="宋体"/>
                <w:color w:val="auto"/>
                <w:sz w:val="24"/>
                <w:szCs w:val="24"/>
                <w:lang w:eastAsia="zh-CN"/>
              </w:rPr>
              <w:t>）</w:t>
            </w:r>
            <w:r>
              <w:rPr>
                <w:rFonts w:hint="eastAsia"/>
                <w:color w:val="000000" w:themeColor="text1"/>
                <w:sz w:val="24"/>
                <w:lang w:val="en-US" w:eastAsia="zh-CN"/>
                <w14:textFill>
                  <w14:solidFill>
                    <w14:schemeClr w14:val="tx1"/>
                  </w14:solidFill>
                </w14:textFill>
              </w:rPr>
              <w:t>、</w:t>
            </w:r>
            <w:r>
              <w:rPr>
                <w:rFonts w:hint="eastAsia" w:ascii="宋体" w:hAnsi="宋体" w:cs="宋体"/>
                <w:color w:val="auto"/>
                <w:sz w:val="24"/>
                <w:szCs w:val="24"/>
                <w:lang w:eastAsia="zh-CN"/>
              </w:rPr>
              <w:t>冰箱、打印机，</w:t>
            </w:r>
            <w:r>
              <w:rPr>
                <w:rFonts w:hint="eastAsia" w:ascii="宋体" w:hAnsi="宋体" w:eastAsia="宋体" w:cs="宋体"/>
                <w:color w:val="auto"/>
                <w:sz w:val="24"/>
                <w:szCs w:val="24"/>
              </w:rPr>
              <w:t>产生的费用全部由中标方承担。</w:t>
            </w:r>
          </w:p>
          <w:p>
            <w:pPr>
              <w:keepNext w:val="0"/>
              <w:keepLines w:val="0"/>
              <w:pageBreakBefore w:val="0"/>
              <w:widowControl w:val="0"/>
              <w:kinsoku/>
              <w:wordWrap/>
              <w:overflowPunct/>
              <w:topLinePunct w:val="0"/>
              <w:autoSpaceDE/>
              <w:autoSpaceDN/>
              <w:bidi w:val="0"/>
              <w:spacing w:line="240" w:lineRule="auto"/>
              <w:jc w:val="left"/>
              <w:textAlignment w:val="auto"/>
              <w:rPr>
                <w:rFonts w:hint="eastAsia" w:ascii="宋体" w:hAnsi="宋体" w:eastAsia="宋体" w:cs="宋体"/>
                <w:b/>
                <w:bCs/>
                <w:color w:val="FF0000"/>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10</w:t>
            </w:r>
            <w:r>
              <w:rPr>
                <w:rFonts w:hint="eastAsia" w:ascii="宋体" w:hAnsi="宋体" w:eastAsia="宋体" w:cs="宋体"/>
                <w:color w:val="auto"/>
                <w:sz w:val="24"/>
                <w:szCs w:val="24"/>
                <w:lang w:val="en-US" w:eastAsia="zh-CN"/>
              </w:rPr>
              <w:t>）设备使用涉及到</w:t>
            </w:r>
            <w:r>
              <w:rPr>
                <w:rFonts w:hint="eastAsia" w:ascii="宋体" w:hAnsi="宋体" w:eastAsia="宋体" w:cs="宋体"/>
                <w:b/>
                <w:bCs/>
                <w:color w:val="FF0000"/>
                <w:sz w:val="24"/>
                <w:szCs w:val="24"/>
                <w:lang w:val="en-US" w:eastAsia="zh-CN"/>
              </w:rPr>
              <w:t>医用耗材/检验试剂</w:t>
            </w:r>
            <w:r>
              <w:rPr>
                <w:rFonts w:hint="eastAsia" w:ascii="宋体" w:hAnsi="宋体" w:eastAsia="宋体" w:cs="宋体"/>
                <w:color w:val="auto"/>
                <w:sz w:val="24"/>
                <w:szCs w:val="24"/>
                <w:lang w:val="en-US" w:eastAsia="zh-CN"/>
              </w:rPr>
              <w:t>的，必须为开放性的</w:t>
            </w:r>
            <w:r>
              <w:rPr>
                <w:rFonts w:hint="eastAsia" w:ascii="宋体" w:hAnsi="宋体" w:eastAsia="宋体" w:cs="宋体"/>
                <w:b/>
                <w:bCs/>
                <w:color w:val="FF0000"/>
                <w:sz w:val="24"/>
                <w:szCs w:val="24"/>
                <w:lang w:val="en-US" w:eastAsia="zh-CN"/>
              </w:rPr>
              <w:t>医用耗材/检验试剂。</w:t>
            </w:r>
          </w:p>
          <w:p>
            <w:pPr>
              <w:keepNext w:val="0"/>
              <w:keepLines w:val="0"/>
              <w:pageBreakBefore w:val="0"/>
              <w:widowControl w:val="0"/>
              <w:kinsoku/>
              <w:wordWrap/>
              <w:overflowPunct/>
              <w:topLinePunct w:val="0"/>
              <w:autoSpaceDE/>
              <w:autoSpaceDN/>
              <w:bidi w:val="0"/>
              <w:spacing w:line="240" w:lineRule="auto"/>
              <w:jc w:val="left"/>
              <w:textAlignment w:val="auto"/>
              <w:rPr>
                <w:rFonts w:hint="eastAsia" w:ascii="宋体" w:hAnsi="宋体" w:eastAsia="宋体" w:cs="宋体"/>
                <w:b/>
                <w:bCs/>
                <w:color w:val="FF0000"/>
                <w:sz w:val="24"/>
                <w:szCs w:val="24"/>
                <w:lang w:val="en-US" w:eastAsia="zh-CN"/>
              </w:rPr>
            </w:pPr>
            <w:r>
              <w:rPr>
                <w:rFonts w:hint="eastAsia" w:ascii="宋体" w:hAnsi="宋体" w:eastAsia="宋体" w:cs="宋体"/>
                <w:color w:val="auto"/>
                <w:sz w:val="24"/>
                <w:szCs w:val="24"/>
                <w:lang w:val="en-US" w:eastAsia="zh-CN"/>
              </w:rPr>
              <w:t>▲</w:t>
            </w:r>
            <w:r>
              <w:rPr>
                <w:rFonts w:hint="eastAsia" w:ascii="宋体" w:hAnsi="宋体" w:cs="宋体"/>
                <w:b/>
                <w:bCs/>
                <w:color w:val="FF0000"/>
                <w:sz w:val="24"/>
                <w:szCs w:val="24"/>
                <w:lang w:val="en-US" w:eastAsia="zh-CN"/>
              </w:rPr>
              <w:t>（</w:t>
            </w:r>
            <w:r>
              <w:rPr>
                <w:rFonts w:hint="default" w:ascii="宋体" w:hAnsi="宋体" w:cs="宋体"/>
                <w:b/>
                <w:bCs/>
                <w:color w:val="FF0000"/>
                <w:sz w:val="24"/>
                <w:szCs w:val="24"/>
                <w:lang w:val="en-US" w:eastAsia="zh-CN"/>
              </w:rPr>
              <w:t>11</w:t>
            </w:r>
            <w:r>
              <w:rPr>
                <w:rFonts w:hint="eastAsia" w:ascii="宋体" w:hAnsi="宋体" w:cs="宋体"/>
                <w:b/>
                <w:bCs/>
                <w:color w:val="FF0000"/>
                <w:sz w:val="24"/>
                <w:szCs w:val="24"/>
                <w:lang w:val="en-US" w:eastAsia="zh-CN"/>
              </w:rPr>
              <w:t>）</w:t>
            </w:r>
            <w:r>
              <w:rPr>
                <w:rFonts w:hint="eastAsia" w:ascii="宋体" w:hAnsi="宋体" w:cs="宋体"/>
                <w:b/>
                <w:bCs/>
                <w:color w:val="FF0000"/>
                <w:sz w:val="24"/>
                <w:szCs w:val="24"/>
                <w:lang w:eastAsia="zh-CN"/>
              </w:rPr>
              <w:t>必须提供中文版</w:t>
            </w:r>
            <w:r>
              <w:rPr>
                <w:rFonts w:hint="eastAsia" w:ascii="宋体" w:hAnsi="宋体" w:cs="宋体"/>
                <w:b/>
                <w:bCs/>
                <w:color w:val="FF0000"/>
                <w:sz w:val="24"/>
                <w:szCs w:val="24"/>
                <w:lang w:val="en-US" w:eastAsia="zh-CN"/>
              </w:rPr>
              <w:t>LIS/HIS接口技术文档。</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5" w:hRule="atLeast"/>
          <w:jc w:val="center"/>
        </w:trPr>
        <w:tc>
          <w:tcPr>
            <w:tcW w:w="1346"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pageBreakBefore w:val="0"/>
              <w:widowControl w:val="0"/>
              <w:kinsoku/>
              <w:wordWrap/>
              <w:overflowPunct/>
              <w:topLinePunct w:val="0"/>
              <w:autoSpaceDE/>
              <w:autoSpaceDN/>
              <w:bidi w:val="0"/>
              <w:adjustRightInd/>
              <w:ind w:firstLine="560" w:firstLineChars="200"/>
              <w:textAlignment w:val="auto"/>
              <w:rPr>
                <w:rFonts w:hint="eastAsia" w:ascii="宋体" w:hAnsi="宋体" w:eastAsia="宋体" w:cs="宋体"/>
                <w:b/>
                <w:bCs/>
                <w:color w:val="C00000"/>
                <w:sz w:val="28"/>
                <w:szCs w:val="28"/>
                <w:lang w:val="en-US" w:eastAsia="zh-CN"/>
              </w:rPr>
            </w:pPr>
            <w:r>
              <w:rPr>
                <w:rFonts w:hint="eastAsia" w:ascii="Times New Roman" w:hAnsi="Times New Roman" w:eastAsia="宋体" w:cs="Times New Roman"/>
                <w:color w:val="auto"/>
                <w:sz w:val="28"/>
                <w:szCs w:val="28"/>
                <w:lang w:val="en-US" w:eastAsia="zh-CN"/>
              </w:rPr>
              <w:t>四、设备和耗材、检验试剂的关系</w:t>
            </w:r>
            <w:r>
              <w:rPr>
                <w:rFonts w:hint="eastAsia" w:ascii="宋体" w:hAnsi="宋体" w:eastAsia="宋体" w:cs="宋体"/>
                <w:b/>
                <w:bCs/>
                <w:color w:val="C00000"/>
                <w:sz w:val="28"/>
                <w:szCs w:val="28"/>
                <w:lang w:val="en-US" w:eastAsia="zh-CN"/>
              </w:rPr>
              <w:t>(需要的必填）</w:t>
            </w:r>
          </w:p>
          <w:p>
            <w:pPr>
              <w:rPr>
                <w:rFonts w:hint="eastAsia" w:ascii="宋体" w:hAnsi="宋体" w:eastAsia="宋体" w:cs="宋体"/>
                <w:color w:val="auto"/>
                <w:lang w:eastAsia="zh-CN"/>
              </w:rPr>
            </w:pPr>
            <w:r>
              <w:rPr>
                <w:rFonts w:hint="eastAsia" w:ascii="宋体" w:hAnsi="宋体" w:eastAsia="宋体" w:cs="宋体"/>
                <w:b/>
                <w:bCs/>
                <w:color w:val="C00000"/>
                <w:sz w:val="28"/>
                <w:szCs w:val="28"/>
                <w:lang w:val="en-US" w:eastAsia="zh-CN"/>
              </w:rPr>
              <w:t>（备注：</w:t>
            </w:r>
            <w:r>
              <w:rPr>
                <w:rFonts w:hint="eastAsia" w:ascii="宋体" w:hAnsi="宋体" w:eastAsia="宋体" w:cs="宋体"/>
                <w:b/>
                <w:bCs/>
                <w:color w:val="auto"/>
                <w:sz w:val="28"/>
                <w:szCs w:val="28"/>
                <w:lang w:val="en-US" w:eastAsia="zh-CN"/>
              </w:rPr>
              <w:t>此表由科室填写年计划使用量</w:t>
            </w:r>
            <w:r>
              <w:rPr>
                <w:rFonts w:hint="eastAsia" w:ascii="宋体" w:hAnsi="宋体" w:eastAsia="宋体" w:cs="宋体"/>
                <w:b/>
                <w:bCs/>
                <w:color w:val="C00000"/>
                <w:sz w:val="28"/>
                <w:szCs w:val="28"/>
                <w:lang w:val="en-US" w:eastAsia="zh-CN"/>
              </w:rPr>
              <w:t>，供应商参与竞标时填写其他部分，作为评标时价格评审的重要依据。</w:t>
            </w:r>
            <w:r>
              <w:rPr>
                <w:rFonts w:hint="eastAsia" w:ascii="宋体" w:hAnsi="宋体" w:eastAsia="宋体" w:cs="宋体"/>
                <w:b/>
                <w:bCs/>
                <w:color w:val="C00000"/>
                <w:sz w:val="28"/>
                <w:szCs w:val="28"/>
                <w:lang w:eastAsia="zh-CN"/>
              </w:rPr>
              <w:t>）</w:t>
            </w:r>
          </w:p>
          <w:p>
            <w:pPr>
              <w:rPr>
                <w:sz w:val="24"/>
              </w:rPr>
            </w:pPr>
          </w:p>
        </w:tc>
        <w:tc>
          <w:tcPr>
            <w:tcW w:w="8678" w:type="dxa"/>
            <w:tcBorders>
              <w:top w:val="single" w:color="auto" w:sz="4" w:space="0"/>
              <w:left w:val="single" w:color="auto" w:sz="4" w:space="0"/>
              <w:bottom w:val="single" w:color="auto" w:sz="4" w:space="0"/>
              <w:right w:val="single" w:color="auto" w:sz="4" w:space="0"/>
            </w:tcBorders>
            <w:noWrap w:val="0"/>
            <w:vAlign w:val="top"/>
          </w:tcPr>
          <w:tbl>
            <w:tblPr>
              <w:tblStyle w:val="4"/>
              <w:tblW w:w="7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660"/>
              <w:gridCol w:w="690"/>
              <w:gridCol w:w="675"/>
              <w:gridCol w:w="677"/>
              <w:gridCol w:w="790"/>
              <w:gridCol w:w="790"/>
              <w:gridCol w:w="790"/>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243"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耗材名称</w:t>
                  </w:r>
                </w:p>
              </w:tc>
              <w:tc>
                <w:tcPr>
                  <w:tcW w:w="660"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国产/进口</w:t>
                  </w:r>
                </w:p>
              </w:tc>
              <w:tc>
                <w:tcPr>
                  <w:tcW w:w="690"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是否专机专用耗材</w:t>
                  </w:r>
                </w:p>
              </w:tc>
              <w:tc>
                <w:tcPr>
                  <w:tcW w:w="675"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耗材品牌</w:t>
                  </w:r>
                </w:p>
              </w:tc>
              <w:tc>
                <w:tcPr>
                  <w:tcW w:w="677"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集采网/阳光网</w:t>
                  </w:r>
                </w:p>
              </w:tc>
              <w:tc>
                <w:tcPr>
                  <w:tcW w:w="790" w:type="dxa"/>
                  <w:vAlign w:val="center"/>
                </w:tcPr>
                <w:p>
                  <w:pPr>
                    <w:jc w:val="left"/>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集采网价格</w:t>
                  </w:r>
                </w:p>
              </w:tc>
              <w:tc>
                <w:tcPr>
                  <w:tcW w:w="790" w:type="dxa"/>
                  <w:vAlign w:val="center"/>
                </w:tcPr>
                <w:p>
                  <w:pPr>
                    <w:jc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阳光网价格</w:t>
                  </w:r>
                </w:p>
              </w:tc>
              <w:tc>
                <w:tcPr>
                  <w:tcW w:w="790" w:type="dxa"/>
                  <w:vAlign w:val="center"/>
                </w:tcPr>
                <w:p>
                  <w:pPr>
                    <w:jc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阳光网成交价格</w:t>
                  </w:r>
                </w:p>
              </w:tc>
              <w:tc>
                <w:tcPr>
                  <w:tcW w:w="790" w:type="dxa"/>
                  <w:vAlign w:val="center"/>
                </w:tcPr>
                <w:p>
                  <w:pPr>
                    <w:jc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年计划使用人份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0.2ml薄壁透明单管</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0.2ml 八联管</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0.2 ml透明无裙边孔板</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配套枪头（1000ul）</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配套枪头（200ul）</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配套枪头（10ul）</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bl>
          <w:p>
            <w:pPr>
              <w:jc w:val="left"/>
              <w:rPr>
                <w:rFonts w:hint="eastAsia" w:ascii="宋体" w:hAnsi="宋体" w:cs="宋体"/>
                <w:b/>
                <w:bCs/>
                <w:color w:val="C00000"/>
                <w:sz w:val="30"/>
                <w:szCs w:val="30"/>
                <w:vertAlign w:val="baseline"/>
                <w:lang w:val="en-US" w:eastAsia="zh-CN"/>
              </w:rPr>
            </w:pPr>
          </w:p>
          <w:tbl>
            <w:tblPr>
              <w:tblStyle w:val="4"/>
              <w:tblW w:w="7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660"/>
              <w:gridCol w:w="690"/>
              <w:gridCol w:w="675"/>
              <w:gridCol w:w="677"/>
              <w:gridCol w:w="790"/>
              <w:gridCol w:w="790"/>
              <w:gridCol w:w="790"/>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243"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试剂名称</w:t>
                  </w:r>
                </w:p>
              </w:tc>
              <w:tc>
                <w:tcPr>
                  <w:tcW w:w="660"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国产/进口</w:t>
                  </w:r>
                </w:p>
              </w:tc>
              <w:tc>
                <w:tcPr>
                  <w:tcW w:w="690"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是否专机专用耗材</w:t>
                  </w:r>
                </w:p>
              </w:tc>
              <w:tc>
                <w:tcPr>
                  <w:tcW w:w="675"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耗材品牌</w:t>
                  </w:r>
                </w:p>
              </w:tc>
              <w:tc>
                <w:tcPr>
                  <w:tcW w:w="677" w:type="dxa"/>
                  <w:vAlign w:val="center"/>
                </w:tcPr>
                <w:p>
                  <w:pPr>
                    <w:jc w:val="left"/>
                    <w:rPr>
                      <w:rFonts w:hint="default" w:ascii="宋体" w:hAnsi="宋体" w:eastAsia="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集采网/阳光网</w:t>
                  </w:r>
                </w:p>
              </w:tc>
              <w:tc>
                <w:tcPr>
                  <w:tcW w:w="790" w:type="dxa"/>
                  <w:vAlign w:val="center"/>
                </w:tcPr>
                <w:p>
                  <w:pPr>
                    <w:jc w:val="left"/>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集采网价格</w:t>
                  </w:r>
                </w:p>
              </w:tc>
              <w:tc>
                <w:tcPr>
                  <w:tcW w:w="790" w:type="dxa"/>
                  <w:vAlign w:val="center"/>
                </w:tcPr>
                <w:p>
                  <w:pPr>
                    <w:jc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阳光网价格</w:t>
                  </w:r>
                </w:p>
              </w:tc>
              <w:tc>
                <w:tcPr>
                  <w:tcW w:w="790" w:type="dxa"/>
                  <w:vAlign w:val="center"/>
                </w:tcPr>
                <w:p>
                  <w:pPr>
                    <w:jc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阳光网成交价格</w:t>
                  </w:r>
                </w:p>
              </w:tc>
              <w:tc>
                <w:tcPr>
                  <w:tcW w:w="790" w:type="dxa"/>
                  <w:vAlign w:val="center"/>
                </w:tcPr>
                <w:p>
                  <w:pPr>
                    <w:jc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年计划使用人份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测序反应通用试剂盒（阿司匹林2基因2位点）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阿司匹林代谢能力基因检测（5基因5位点）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default" w:ascii="宋体" w:hAnsi="宋体" w:cs="宋体"/>
                      <w:color w:val="auto"/>
                      <w:sz w:val="18"/>
                      <w:szCs w:val="18"/>
                      <w:vertAlign w:val="baseline"/>
                      <w:lang w:val="en-US" w:eastAsia="zh-CN"/>
                    </w:rPr>
                    <w:t>测序反应通用试剂盒（氯吡格雷1基因2位点）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叶酸代谢能力基因检测（2基因3位点）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降脂他汀类代谢能力基因检测（2基因4位点）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测序反应通用试剂盒（他汀类2基因3位点）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测序反应通用试剂盒（静脉血栓1基因1位点）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五大类降压药物代谢能力基因检测（7基因7位点）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糖尿病相关药物代谢能力基因检测（6基因6位点）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幽门螺旋杆菌抗生素基因检测（6基因18位点）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遗传性易栓症风险筛查基因检测（5基因6位点）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心理抑郁所有用药检测（8基因16位点）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抗凝类华法林、氯沙坦、醋销香豆素等代谢能力（3基因4位点）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免疫系统类甲氨蝶呤基因检测（2基因3位点）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硫唑嘌呤/巯嘌呤/硫鸟嘌呤代谢能力基因检测（2基因4位点）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镇疼类芬太尼药物代谢能力基因检测（3基因3位点）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检测抗精神分裂药物代谢能力基因检测B（2基因2位点）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精神类类丙戊酸钠用药相关基因检测（2基因3位点）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氯吡格雷代谢能力、精神类I基因检测、质子泵抑制剂、伏立康唑（1基因3位点）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肿瘤类伊立替康药物代谢能力基因检测（1基因3位点）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甲亢用药的基因检测（2基因3位点）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酒精性肝损伤、硝酸甘油代谢能力基因检测（1基因1位点）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免疫系统他克莫司/环孢素代谢能力基因检测（1基因1位点）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阿尔茨海默症风险筛查（1基因2位点）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卒中风险基因检测（1基因1位点）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左乙拉西坦用药相关基因检测（1基因1位点）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痛风/高尿酸风险基因相关检测（1基因1位点）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癫痫类 卡马西平/奥卡西平代谢能力基因检测（1基因1位点）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243" w:type="dxa"/>
                  <w:shd w:val="clear" w:color="auto" w:fill="FFD965" w:themeFill="accent4" w:themeFillTint="99"/>
                  <w:vAlign w:val="center"/>
                </w:tcPr>
                <w:p>
                  <w:pPr>
                    <w:keepNext w:val="0"/>
                    <w:keepLines w:val="0"/>
                    <w:widowControl/>
                    <w:suppressLineNumbers w:val="0"/>
                    <w:jc w:val="center"/>
                    <w:textAlignment w:val="center"/>
                    <w:rPr>
                      <w:rFonts w:hint="eastAsia" w:ascii="宋体" w:hAnsi="宋体" w:cs="宋体"/>
                      <w:color w:val="auto"/>
                      <w:sz w:val="18"/>
                      <w:szCs w:val="18"/>
                      <w:vertAlign w:val="baseline"/>
                      <w:lang w:val="en-US" w:eastAsia="zh-CN"/>
                    </w:rPr>
                  </w:pPr>
                  <w:r>
                    <w:rPr>
                      <w:rFonts w:hint="eastAsia" w:ascii="宋体" w:hAnsi="宋体" w:cs="宋体"/>
                      <w:color w:val="auto"/>
                      <w:sz w:val="18"/>
                      <w:szCs w:val="18"/>
                      <w:vertAlign w:val="baseline"/>
                      <w:lang w:val="en-US" w:eastAsia="zh-CN"/>
                    </w:rPr>
                    <w:t>别嘌醇代谢能力基因检测（1基因1位点）</w:t>
                  </w:r>
                </w:p>
              </w:tc>
              <w:tc>
                <w:tcPr>
                  <w:tcW w:w="66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5"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677"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vAlign w:val="center"/>
                </w:tcPr>
                <w:p>
                  <w:pPr>
                    <w:keepNext w:val="0"/>
                    <w:keepLines w:val="0"/>
                    <w:widowControl/>
                    <w:suppressLineNumbers w:val="0"/>
                    <w:jc w:val="left"/>
                    <w:textAlignment w:val="center"/>
                    <w:rPr>
                      <w:rFonts w:hint="eastAsia" w:ascii="宋体" w:hAnsi="宋体" w:cs="宋体"/>
                      <w:color w:val="auto"/>
                      <w:sz w:val="18"/>
                      <w:szCs w:val="18"/>
                      <w:vertAlign w:val="baseline"/>
                      <w:lang w:val="en-US" w:eastAsia="zh-CN"/>
                    </w:rPr>
                  </w:pPr>
                </w:p>
              </w:tc>
              <w:tc>
                <w:tcPr>
                  <w:tcW w:w="790" w:type="dxa"/>
                  <w:shd w:val="clear" w:color="auto" w:fill="FFD965" w:themeFill="accent4" w:themeFillTint="99"/>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vertAlign w:val="baseline"/>
                      <w:lang w:val="en-US" w:eastAsia="zh-CN" w:bidi="ar-SA"/>
                    </w:rPr>
                  </w:pPr>
                  <w:r>
                    <w:rPr>
                      <w:rFonts w:hint="eastAsia" w:ascii="宋体" w:hAnsi="宋体" w:cs="宋体"/>
                      <w:color w:val="auto"/>
                      <w:sz w:val="18"/>
                      <w:szCs w:val="18"/>
                      <w:vertAlign w:val="baseline"/>
                      <w:lang w:val="en-US" w:eastAsia="zh-CN"/>
                    </w:rPr>
                    <w:t>500</w:t>
                  </w:r>
                </w:p>
              </w:tc>
            </w:tr>
          </w:tbl>
          <w:p>
            <w:pPr>
              <w:jc w:val="left"/>
              <w:rPr>
                <w:rFonts w:hint="default" w:ascii="仿宋" w:hAnsi="仿宋" w:eastAsia="仿宋" w:cs="仿宋"/>
                <w:color w:val="auto"/>
                <w:sz w:val="30"/>
                <w:szCs w:val="30"/>
                <w:lang w:val="en-US" w:eastAsia="zh-CN"/>
              </w:rPr>
            </w:pPr>
            <w:r>
              <w:rPr>
                <w:rFonts w:hint="eastAsia" w:ascii="宋体" w:hAnsi="宋体" w:cs="宋体"/>
                <w:b/>
                <w:bCs/>
                <w:color w:val="C00000"/>
                <w:sz w:val="30"/>
                <w:szCs w:val="30"/>
                <w:vertAlign w:val="baseline"/>
                <w:lang w:val="en-US" w:eastAsia="zh-CN"/>
              </w:rPr>
              <w:t>年计划使用人份由使用科室填写（必填项）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06" w:hRule="atLeast"/>
          <w:jc w:val="center"/>
        </w:trPr>
        <w:tc>
          <w:tcPr>
            <w:tcW w:w="10024" w:type="dxa"/>
            <w:gridSpan w:val="2"/>
            <w:tcBorders>
              <w:top w:val="single" w:color="000000" w:sz="4" w:space="0"/>
              <w:left w:val="single" w:color="000000" w:sz="4" w:space="0"/>
              <w:bottom w:val="single" w:color="000000" w:sz="4" w:space="0"/>
              <w:right w:val="single" w:color="000000" w:sz="4" w:space="0"/>
            </w:tcBorders>
            <w:noWrap/>
            <w:vAlign w:val="center"/>
          </w:tcPr>
          <w:p>
            <w:pPr>
              <w:spacing w:line="360" w:lineRule="exact"/>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商务要求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质保期</w:t>
            </w:r>
          </w:p>
        </w:tc>
        <w:tc>
          <w:tcPr>
            <w:tcW w:w="8678" w:type="dxa"/>
            <w:tcBorders>
              <w:top w:val="single" w:color="000000" w:sz="4" w:space="0"/>
              <w:left w:val="single" w:color="000000" w:sz="4" w:space="0"/>
              <w:bottom w:val="single" w:color="000000" w:sz="4" w:space="0"/>
              <w:right w:val="single" w:color="000000" w:sz="4" w:space="0"/>
            </w:tcBorders>
            <w:noWrap/>
          </w:tcPr>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按国家有关产品“三包”规定执行“三包”，质保期起止时间：自验收合格正常使用之日起整机质保</w:t>
            </w:r>
            <w:r>
              <w:rPr>
                <w:rFonts w:hint="eastAsia" w:ascii="仿宋_GB2312" w:hAnsi="仿宋_GB2312" w:eastAsia="仿宋_GB2312" w:cs="仿宋_GB2312"/>
                <w:b/>
                <w:bCs/>
                <w:color w:val="C00000"/>
                <w:sz w:val="28"/>
                <w:szCs w:val="28"/>
              </w:rPr>
              <w:t>大于</w:t>
            </w:r>
            <w:r>
              <w:rPr>
                <w:rFonts w:hint="eastAsia" w:ascii="仿宋_GB2312" w:hAnsi="仿宋_GB2312" w:eastAsia="仿宋_GB2312" w:cs="仿宋_GB2312"/>
                <w:b/>
                <w:bCs/>
                <w:color w:val="C00000"/>
                <w:sz w:val="28"/>
                <w:szCs w:val="28"/>
                <w:lang w:eastAsia="zh-CN"/>
              </w:rPr>
              <w:t>五</w:t>
            </w:r>
            <w:r>
              <w:rPr>
                <w:rFonts w:hint="eastAsia" w:ascii="仿宋_GB2312" w:hAnsi="仿宋_GB2312" w:eastAsia="仿宋_GB2312" w:cs="仿宋_GB2312"/>
                <w:sz w:val="28"/>
                <w:szCs w:val="28"/>
              </w:rPr>
              <w:t>年。</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为确保设备的售后服务质量，中标供应商必须在供货时提供其厂家免费质保</w:t>
            </w:r>
            <w:r>
              <w:rPr>
                <w:rFonts w:hint="eastAsia" w:ascii="仿宋_GB2312" w:hAnsi="仿宋_GB2312" w:eastAsia="仿宋_GB2312" w:cs="仿宋_GB2312"/>
                <w:b/>
                <w:bCs/>
                <w:color w:val="C00000"/>
                <w:sz w:val="28"/>
                <w:szCs w:val="28"/>
              </w:rPr>
              <w:t>大于</w:t>
            </w: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年的售后服务承诺书，包括设备厂家提供产品的终身免费升级服务。中标供应商提供的服务承诺和售后服务及保修期责任等其它具体约定事项和厂家一致。</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交货时间及地点</w:t>
            </w:r>
          </w:p>
        </w:tc>
        <w:tc>
          <w:tcPr>
            <w:tcW w:w="8678"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1.交货时间：自签订合同之日起个30日历日内安装调试完毕。</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2.交货地点：北流市内采购人指定地点。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合同签订期</w:t>
            </w:r>
          </w:p>
        </w:tc>
        <w:tc>
          <w:tcPr>
            <w:tcW w:w="8678"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自成交通知书发出之日起25日内，因不可抗力原因延迟签订合同的，自不可抗力事由消除之日起5个工作日内完成合同签订事宜。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jc w:val="center"/>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服务标准、服务效率、售后服务要求</w:t>
            </w:r>
          </w:p>
        </w:tc>
        <w:tc>
          <w:tcPr>
            <w:tcW w:w="8678" w:type="dxa"/>
            <w:tcBorders>
              <w:top w:val="single" w:color="000000" w:sz="4" w:space="0"/>
              <w:left w:val="single" w:color="000000" w:sz="4" w:space="0"/>
              <w:bottom w:val="single" w:color="000000" w:sz="4" w:space="0"/>
              <w:right w:val="single" w:color="000000" w:sz="4" w:space="0"/>
            </w:tcBorders>
            <w:noWrap/>
          </w:tcPr>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1.供应商负责送货上门，安装调试。</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2.质保期内仪器设备出现故障，要求在接到电话通知后，1小时内做出响应，8小时内到达维修现场。一般问题应在24小时内解决，重大问题或其它无法迅速解决的问题应在五个工作日内解决。</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3.质保期内，供应商负责提供每年至少4次设备巡检（每季度至少1次），并按产品说明书要求提供设备保养，同时出具相应报告。</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4.供应商所提供的产品必须是全新、未使用过的产品。产品包装必须是未经使用的全新的合格产品，并按照原厂标准包装规格供货，不接受散装或拆包装件。所有货物都提供使用说明书和详细装箱清单。质保期内如有配件更换，需按原厂配置标准进行更换。</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5.协助采购人进行安装前的准备工作，安装前提供相关的布局图和设计要求，提供建设安装资料并作相应的指导，仪器到货后，并由设备工程师安装并为使用人员进行现场培训。</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6.提供维护手册、维修手册、备件清单等随机材料。</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7.提供7×24小时的技术支持服务。技术支持方式包括但不限于：电话技术服务、远程技术服务、现场技术服务、技术升级服务等。</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8.供应商应按照国家有关法律法规和“三包”规定和采购合同所附的《服务承诺》，为采购人提供售后服务。</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①产品自验收合格之日起7日内，发生性能故障，采购人可以选择退货，换货或修理。退货时（报财政监管部门同意后），供应商应当按发票价格一次退清货款。</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②产品自验收合格之日起15日内，发生性能故障，采购人可选择换货或修理。换货时，供应商应当免费为采购人调换同型号同规格的产品。</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③在三包有效期内，修理两次，仍然不能正常使用的产品，凭修理者提供的修理记录和证明，由供应商负责为采购人免费调换同型号同规格的产品。</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④在三包有效期内，因供应商未供应零配件，自送修之日起超过90日未维修好的，修理者应当在修理状况中注明，供应商凭此据免费为采购人调换同型号同规格产品。</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⑤折旧费计算自开具发票之日起至退货之日止，其中应当扣除修理占用和待修的时间。</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⑥不得使用与产品技术要求不附的元器件和零配件。认真记录故障及修理后产品状况。</w:t>
            </w:r>
          </w:p>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9.设备使用年限</w:t>
            </w:r>
            <w:r>
              <w:rPr>
                <w:rFonts w:hint="eastAsia" w:ascii="仿宋_GB2312" w:hAnsi="仿宋_GB2312" w:eastAsia="仿宋_GB2312" w:cs="仿宋_GB2312"/>
                <w:b/>
                <w:bCs/>
                <w:color w:val="C00000"/>
                <w:sz w:val="28"/>
                <w:szCs w:val="28"/>
                <w:lang w:val="en-US" w:eastAsia="zh-CN"/>
              </w:rPr>
              <w:t>大于5</w:t>
            </w:r>
            <w:r>
              <w:rPr>
                <w:rFonts w:hint="eastAsia" w:ascii="仿宋_GB2312" w:hAnsi="仿宋_GB2312" w:eastAsia="仿宋_GB2312" w:cs="仿宋_GB2312"/>
                <w:sz w:val="28"/>
                <w:szCs w:val="28"/>
              </w:rPr>
              <w:t>年，设备的生产日期和合同签订的时间间隔不大于6个月。</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jc w:val="center"/>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付款方式</w:t>
            </w:r>
          </w:p>
        </w:tc>
        <w:tc>
          <w:tcPr>
            <w:tcW w:w="8678" w:type="dxa"/>
            <w:tcBorders>
              <w:top w:val="single" w:color="000000" w:sz="4" w:space="0"/>
              <w:left w:val="single" w:color="000000" w:sz="4" w:space="0"/>
              <w:bottom w:val="single" w:color="000000" w:sz="4" w:space="0"/>
              <w:right w:val="single" w:color="000000" w:sz="4" w:space="0"/>
            </w:tcBorders>
            <w:noWrap/>
          </w:tcPr>
          <w:p>
            <w:pPr>
              <w:snapToGrid w:val="0"/>
              <w:spacing w:line="360" w:lineRule="exact"/>
              <w:outlineLvl w:val="0"/>
              <w:rPr>
                <w:rFonts w:hint="default" w:ascii="仿宋_GB2312" w:hAnsi="仿宋_GB2312" w:eastAsia="仿宋_GB2312" w:cs="仿宋_GB2312"/>
                <w:sz w:val="28"/>
                <w:szCs w:val="28"/>
                <w:lang w:val="en-US" w:eastAsia="zh-CN"/>
              </w:rPr>
            </w:pPr>
            <w:r>
              <w:rPr>
                <w:rFonts w:ascii="仿宋_GB2312" w:hAnsi="仿宋_GB2312" w:eastAsia="仿宋_GB2312" w:cs="仿宋_GB2312"/>
                <w:sz w:val="28"/>
                <w:szCs w:val="28"/>
              </w:rPr>
              <w:t>1</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设备验收合格后，中标供应商收到验收报告后5个工作日内凭合同、全额发票、验收报告到采购人仓库办理资产入库手续，入库后30个工作日内，采购人支付合同总金额的</w:t>
            </w:r>
            <w:r>
              <w:rPr>
                <w:rFonts w:hint="eastAsia" w:ascii="仿宋_GB2312" w:hAnsi="仿宋_GB2312" w:eastAsia="仿宋_GB2312" w:cs="仿宋_GB2312"/>
                <w:sz w:val="28"/>
                <w:szCs w:val="28"/>
                <w:lang w:val="en-US" w:eastAsia="zh-CN"/>
              </w:rPr>
              <w:t>60</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验收满半年</w:t>
            </w:r>
            <w:r>
              <w:rPr>
                <w:rFonts w:ascii="仿宋_GB2312" w:hAnsi="仿宋_GB2312" w:eastAsia="仿宋_GB2312" w:cs="仿宋_GB2312"/>
                <w:sz w:val="28"/>
                <w:szCs w:val="28"/>
              </w:rPr>
              <w:t>支付合同总金额的</w:t>
            </w:r>
            <w:r>
              <w:rPr>
                <w:rFonts w:hint="eastAsia" w:ascii="仿宋_GB2312" w:hAnsi="仿宋_GB2312" w:eastAsia="仿宋_GB2312" w:cs="仿宋_GB2312"/>
                <w:sz w:val="28"/>
                <w:szCs w:val="28"/>
                <w:lang w:val="en-US" w:eastAsia="zh-CN"/>
              </w:rPr>
              <w:t>30</w:t>
            </w:r>
            <w:r>
              <w:rPr>
                <w:rFonts w:ascii="仿宋_GB2312" w:hAnsi="仿宋_GB2312" w:eastAsia="仿宋_GB2312" w:cs="仿宋_GB2312"/>
                <w:sz w:val="28"/>
                <w:szCs w:val="28"/>
              </w:rPr>
              <w:t>%</w:t>
            </w:r>
          </w:p>
          <w:p>
            <w:pPr>
              <w:snapToGrid w:val="0"/>
              <w:spacing w:line="360" w:lineRule="exact"/>
              <w:outlineLvl w:val="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余下</w:t>
            </w:r>
            <w:r>
              <w:rPr>
                <w:rFonts w:hint="eastAsia" w:ascii="仿宋_GB2312" w:hAnsi="仿宋_GB2312" w:eastAsia="仿宋_GB2312" w:cs="仿宋_GB2312"/>
                <w:sz w:val="28"/>
                <w:szCs w:val="28"/>
                <w:lang w:val="en-US" w:eastAsia="zh-CN"/>
              </w:rPr>
              <w:t>10</w:t>
            </w:r>
            <w:r>
              <w:rPr>
                <w:rFonts w:ascii="仿宋_GB2312" w:hAnsi="仿宋_GB2312" w:eastAsia="仿宋_GB2312" w:cs="仿宋_GB2312"/>
                <w:sz w:val="28"/>
                <w:szCs w:val="28"/>
              </w:rPr>
              <w:t>%的合同价款待设备验收完成使用一年后，中标供应商办理相关手续15天内，采购人向中标供应商一次性无息付清。</w:t>
            </w:r>
          </w:p>
          <w:p>
            <w:pPr>
              <w:snapToGrid w:val="0"/>
              <w:spacing w:line="360" w:lineRule="exact"/>
              <w:outlineLvl w:val="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每次付款前，中标供应商须向采购人</w:t>
            </w:r>
            <w:r>
              <w:rPr>
                <w:rFonts w:ascii="仿宋_GB2312" w:hAnsi="仿宋_GB2312" w:eastAsia="仿宋_GB2312" w:cs="仿宋_GB2312"/>
                <w:b/>
                <w:bCs/>
                <w:color w:val="C00000"/>
                <w:sz w:val="30"/>
                <w:szCs w:val="30"/>
              </w:rPr>
              <w:t>提交付款申请</w:t>
            </w:r>
            <w:r>
              <w:rPr>
                <w:rFonts w:ascii="仿宋_GB2312" w:hAnsi="仿宋_GB2312" w:eastAsia="仿宋_GB2312" w:cs="仿宋_GB2312"/>
                <w:sz w:val="28"/>
                <w:szCs w:val="28"/>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jc w:val="center"/>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报价要求</w:t>
            </w:r>
          </w:p>
        </w:tc>
        <w:tc>
          <w:tcPr>
            <w:tcW w:w="8678" w:type="dxa"/>
            <w:tcBorders>
              <w:top w:val="single" w:color="000000" w:sz="4" w:space="0"/>
              <w:left w:val="single" w:color="000000" w:sz="4" w:space="0"/>
              <w:bottom w:val="single" w:color="000000" w:sz="4" w:space="0"/>
              <w:right w:val="single" w:color="000000" w:sz="4" w:space="0"/>
            </w:tcBorders>
            <w:noWrap/>
          </w:tcPr>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报价需包含货物、货物标准附件、备品备件、专用工具、设备安装辅材、施工辅材、场地改造（含墙面拆除及修补）及安装、包装、运输、装卸、保险、货到就位的各种费用、税金、售后服务、技术培训、</w:t>
            </w:r>
            <w:r>
              <w:rPr>
                <w:rFonts w:hint="eastAsia" w:ascii="仿宋_GB2312" w:hAnsi="仿宋_GB2312" w:eastAsia="仿宋_GB2312" w:cs="仿宋_GB2312"/>
                <w:b/>
                <w:bCs/>
                <w:color w:val="C00000"/>
                <w:sz w:val="28"/>
                <w:szCs w:val="28"/>
              </w:rPr>
              <w:t>验收及其他所有费用</w:t>
            </w:r>
            <w:r>
              <w:rPr>
                <w:rFonts w:hint="eastAsia" w:ascii="仿宋_GB2312" w:hAnsi="仿宋_GB2312" w:eastAsia="仿宋_GB2312" w:cs="仿宋_GB2312"/>
                <w:sz w:val="28"/>
                <w:szCs w:val="28"/>
              </w:rPr>
              <w:t>。供应商须自行考虑完成项目所需的全部内容中产生的所有费用，合同实施阶段，采购人不再支付任何费用。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jc w:val="center"/>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验收标准及要求</w:t>
            </w:r>
          </w:p>
        </w:tc>
        <w:tc>
          <w:tcPr>
            <w:tcW w:w="8678" w:type="dxa"/>
            <w:tcBorders>
              <w:top w:val="single" w:color="000000" w:sz="4" w:space="0"/>
              <w:left w:val="single" w:color="000000" w:sz="4" w:space="0"/>
              <w:bottom w:val="single" w:color="000000" w:sz="4" w:space="0"/>
              <w:right w:val="single" w:color="000000" w:sz="4" w:space="0"/>
            </w:tcBorders>
            <w:noWrap/>
          </w:tcPr>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1.货物运达约定的交货地点后，采购人应对货物生产商提供的、随货物运抵的货物清单，对照采购合同等有效合法商务文件，对货物及其附属物件进行到货验收。 符合投标文件和采购合同规定的货物，采购人给予签收；对不符合投标文件和本合同规定的货物或货物有质量问题的货物不予签收，可立即要求退换，供应商不得拒绝和延误。 </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2.供应商交货前应对产品作出全面检查和对验收文件进行整理，并列出清单，作为采购人收货验收和使用的技术条件依据，检验的结果应随货物交采购人。</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3.本项目</w:t>
            </w:r>
            <w:r>
              <w:rPr>
                <w:rFonts w:hint="eastAsia" w:ascii="仿宋_GB2312" w:hAnsi="仿宋_GB2312" w:eastAsia="仿宋_GB2312" w:cs="仿宋_GB2312"/>
                <w:b/>
                <w:bCs/>
                <w:color w:val="C00000"/>
                <w:sz w:val="28"/>
                <w:szCs w:val="28"/>
                <w:lang w:val="en-US" w:eastAsia="zh-CN"/>
              </w:rPr>
              <w:t>医院自行组织验收或</w:t>
            </w:r>
            <w:r>
              <w:rPr>
                <w:rFonts w:hint="eastAsia" w:ascii="仿宋_GB2312" w:hAnsi="仿宋_GB2312" w:eastAsia="仿宋_GB2312" w:cs="仿宋_GB2312"/>
                <w:color w:val="C00000"/>
                <w:sz w:val="28"/>
                <w:szCs w:val="28"/>
              </w:rPr>
              <w:t>委托代理机构组织的验收项目</w:t>
            </w:r>
            <w:r>
              <w:rPr>
                <w:rFonts w:hint="eastAsia" w:ascii="仿宋_GB2312" w:hAnsi="仿宋_GB2312" w:eastAsia="仿宋_GB2312" w:cs="仿宋_GB2312"/>
                <w:sz w:val="28"/>
                <w:szCs w:val="28"/>
              </w:rPr>
              <w:t xml:space="preserve">，验收时间以该项目验收方案确定的验收时间为准，验收结果以该项目验收报告结论为准。在验收过程中发现供应商有违约问题，可暂缓资金结算，待违约问题解决后，方可办理资金结算事宜。 </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供应商在验收时应附上货物有效的医疗器械注册证及完整内容的医疗器械注册证附件(注册产品标准/产品技术要求)复印件。(如涉及2类、3类医疗器械时，必须提供，I类医疗器械如有请提供，不涉及医疗器械不提供) </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val="en-US" w:eastAsia="zh-CN"/>
              </w:rPr>
              <w:t>该项目</w:t>
            </w:r>
            <w:r>
              <w:rPr>
                <w:rFonts w:hint="eastAsia" w:ascii="仿宋_GB2312" w:hAnsi="仿宋_GB2312" w:eastAsia="仿宋_GB2312" w:cs="仿宋_GB2312"/>
                <w:b/>
                <w:bCs/>
                <w:color w:val="C00000"/>
                <w:sz w:val="28"/>
                <w:szCs w:val="28"/>
              </w:rPr>
              <w:t>技术复杂</w:t>
            </w:r>
            <w:r>
              <w:rPr>
                <w:rFonts w:hint="eastAsia" w:ascii="仿宋_GB2312" w:hAnsi="仿宋_GB2312" w:eastAsia="仿宋_GB2312" w:cs="仿宋_GB2312"/>
                <w:b/>
                <w:bCs/>
                <w:color w:val="C00000"/>
                <w:sz w:val="28"/>
                <w:szCs w:val="28"/>
                <w:lang w:eastAsia="zh-CN"/>
              </w:rPr>
              <w:t>，</w:t>
            </w:r>
            <w:r>
              <w:rPr>
                <w:rFonts w:hint="eastAsia" w:ascii="仿宋_GB2312" w:hAnsi="仿宋_GB2312" w:eastAsia="仿宋_GB2312" w:cs="仿宋_GB2312"/>
                <w:b/>
                <w:bCs/>
                <w:color w:val="C00000"/>
                <w:sz w:val="28"/>
                <w:szCs w:val="28"/>
                <w:lang w:val="en-US" w:eastAsia="zh-CN"/>
              </w:rPr>
              <w:t>为</w:t>
            </w:r>
            <w:r>
              <w:rPr>
                <w:rFonts w:hint="eastAsia" w:ascii="仿宋_GB2312" w:hAnsi="仿宋_GB2312" w:eastAsia="仿宋_GB2312" w:cs="仿宋_GB2312"/>
                <w:b/>
                <w:bCs/>
                <w:color w:val="C00000"/>
                <w:sz w:val="28"/>
                <w:szCs w:val="28"/>
              </w:rPr>
              <w:t>国家强制要求检测的货物，由</w:t>
            </w:r>
            <w:r>
              <w:rPr>
                <w:rFonts w:hint="eastAsia" w:ascii="仿宋_GB2312" w:hAnsi="仿宋_GB2312" w:eastAsia="仿宋_GB2312" w:cs="仿宋_GB2312"/>
                <w:b/>
                <w:bCs/>
                <w:color w:val="C00000"/>
                <w:sz w:val="28"/>
                <w:szCs w:val="28"/>
                <w:lang w:val="en-US" w:eastAsia="zh-CN"/>
              </w:rPr>
              <w:t>医院自行组织验收或委托</w:t>
            </w:r>
            <w:r>
              <w:rPr>
                <w:rFonts w:hint="eastAsia" w:ascii="仿宋_GB2312" w:hAnsi="仿宋_GB2312" w:eastAsia="仿宋_GB2312" w:cs="仿宋_GB2312"/>
                <w:b/>
                <w:bCs/>
                <w:color w:val="C00000"/>
                <w:sz w:val="28"/>
                <w:szCs w:val="28"/>
              </w:rPr>
              <w:t>代理机构请国家认可的专业检测机构进行检测，并</w:t>
            </w:r>
            <w:r>
              <w:rPr>
                <w:rFonts w:hint="eastAsia" w:ascii="仿宋_GB2312" w:hAnsi="仿宋_GB2312" w:eastAsia="仿宋_GB2312" w:cs="仿宋_GB2312"/>
                <w:b/>
                <w:bCs/>
                <w:color w:val="C00000"/>
                <w:sz w:val="28"/>
                <w:szCs w:val="28"/>
                <w:lang w:val="en-US" w:eastAsia="zh-CN"/>
              </w:rPr>
              <w:t>由</w:t>
            </w:r>
            <w:r>
              <w:rPr>
                <w:rFonts w:hint="eastAsia" w:ascii="仿宋_GB2312" w:hAnsi="仿宋_GB2312" w:eastAsia="仿宋_GB2312" w:cs="仿宋_GB2312"/>
                <w:b/>
                <w:bCs/>
                <w:color w:val="C00000"/>
                <w:sz w:val="28"/>
                <w:szCs w:val="28"/>
              </w:rPr>
              <w:t>其出具质量检测报告。检测费用由供应商负责</w:t>
            </w:r>
            <w:r>
              <w:rPr>
                <w:rFonts w:hint="eastAsia" w:ascii="仿宋_GB2312" w:hAnsi="仿宋_GB2312" w:eastAsia="仿宋_GB2312" w:cs="仿宋_GB2312"/>
                <w:sz w:val="28"/>
                <w:szCs w:val="28"/>
              </w:rPr>
              <w:t xml:space="preserve">。 </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6.采购人全程参与第三方验收并进行监督。如采购人对验收结果有异议的，则当场向代理机构及供应商提出，供应商应及时予以解决。需采购人配合的，采购人应在不违反原则前提下予以配合。 </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7.货物商检由供应商负责申报。</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8.验收产生的费用由供应商负责。</w:t>
            </w:r>
          </w:p>
          <w:p>
            <w:pPr>
              <w:snapToGrid w:val="0"/>
              <w:spacing w:line="360" w:lineRule="exact"/>
              <w:jc w:val="left"/>
              <w:outlineLvl w:val="0"/>
              <w:rPr>
                <w:rFonts w:ascii="仿宋_GB2312" w:hAnsi="仿宋_GB2312" w:eastAsia="仿宋_GB2312" w:cs="仿宋_GB2312"/>
                <w:color w:val="C00000"/>
                <w:sz w:val="28"/>
                <w:szCs w:val="28"/>
              </w:rPr>
            </w:pPr>
            <w:r>
              <w:rPr>
                <w:rFonts w:hint="eastAsia" w:ascii="仿宋_GB2312" w:hAnsi="仿宋_GB2312" w:eastAsia="仿宋_GB2312" w:cs="仿宋_GB2312"/>
                <w:color w:val="C00000"/>
                <w:sz w:val="28"/>
                <w:szCs w:val="28"/>
              </w:rPr>
              <w:t>9.验收时，确保设备验收时，确保设备外观完好、配件齐全、运行正常，并按照合同约定的技术参数和功能要求进行逐项测试。供应商需提供完整的使用说明书、保修卡及相关技术资料。所有验收记录须由供应商、代理机构及采购人共同签字确认。</w:t>
            </w:r>
          </w:p>
          <w:p>
            <w:pPr>
              <w:snapToGrid w:val="0"/>
              <w:spacing w:line="360" w:lineRule="exact"/>
              <w:jc w:val="left"/>
              <w:outlineLvl w:val="0"/>
              <w:rPr>
                <w:rFonts w:ascii="仿宋_GB2312" w:hAnsi="仿宋_GB2312" w:eastAsia="仿宋_GB2312" w:cs="仿宋_GB2312"/>
                <w:color w:val="C00000"/>
                <w:sz w:val="28"/>
                <w:szCs w:val="28"/>
              </w:rPr>
            </w:pPr>
            <w:r>
              <w:rPr>
                <w:rFonts w:hint="eastAsia" w:ascii="仿宋_GB2312" w:hAnsi="仿宋_GB2312" w:eastAsia="仿宋_GB2312" w:cs="仿宋_GB2312"/>
                <w:color w:val="C00000"/>
                <w:sz w:val="28"/>
                <w:szCs w:val="28"/>
              </w:rPr>
              <w:t>10.验收时，确保设备</w:t>
            </w:r>
            <w:r>
              <w:rPr>
                <w:rFonts w:hint="eastAsia" w:ascii="仿宋_GB2312" w:hAnsi="仿宋_GB2312" w:eastAsia="仿宋_GB2312" w:cs="仿宋_GB2312"/>
                <w:color w:val="C00000"/>
                <w:sz w:val="28"/>
                <w:szCs w:val="28"/>
                <w:lang w:val="en-US" w:eastAsia="zh-CN"/>
              </w:rPr>
              <w:t>全生命周期</w:t>
            </w:r>
            <w:r>
              <w:rPr>
                <w:rFonts w:hint="eastAsia" w:ascii="仿宋_GB2312" w:hAnsi="仿宋_GB2312" w:eastAsia="仿宋_GB2312" w:cs="仿宋_GB2312"/>
                <w:color w:val="C00000"/>
                <w:sz w:val="28"/>
                <w:szCs w:val="28"/>
              </w:rPr>
              <w:t>无密码锁定设备不能开机及使用，无远程控制影响采购人使用的行为。</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11.验收同时提供纸质版和电子版产品说明书。供货时应同时附上中文使用说明书（包括纸质版和电子版）。</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12.</w:t>
            </w:r>
            <w:bookmarkStart w:id="0" w:name="OLE_LINK7"/>
            <w:bookmarkStart w:id="1" w:name="OLE_LINK6"/>
            <w:r>
              <w:rPr>
                <w:rFonts w:hint="eastAsia" w:ascii="仿宋_GB2312" w:hAnsi="仿宋_GB2312" w:eastAsia="仿宋_GB2312" w:cs="仿宋_GB2312"/>
                <w:sz w:val="28"/>
                <w:szCs w:val="28"/>
              </w:rPr>
              <w:t>为确保设备的售后服务质量，乙方必须提供其厂家免费质保三年的售后服务承诺书，包括设备厂家提供产品的终身免费升级服务。</w:t>
            </w:r>
            <w:bookmarkEnd w:id="0"/>
            <w:bookmarkEnd w:id="1"/>
          </w:p>
          <w:p>
            <w:pPr>
              <w:snapToGrid w:val="0"/>
              <w:spacing w:line="360" w:lineRule="exact"/>
              <w:jc w:val="left"/>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13.设备数据涉及接入</w:t>
            </w:r>
            <w:r>
              <w:rPr>
                <w:rFonts w:hint="eastAsia" w:ascii="仿宋_GB2312" w:hAnsi="仿宋_GB2312" w:eastAsia="仿宋_GB2312" w:cs="仿宋_GB2312"/>
                <w:sz w:val="28"/>
                <w:szCs w:val="28"/>
                <w:lang w:val="en-US" w:eastAsia="zh-CN"/>
              </w:rPr>
              <w:t>医</w:t>
            </w:r>
            <w:r>
              <w:rPr>
                <w:rFonts w:hint="eastAsia" w:ascii="仿宋_GB2312" w:hAnsi="仿宋_GB2312" w:eastAsia="仿宋_GB2312" w:cs="仿宋_GB2312"/>
                <w:sz w:val="28"/>
                <w:szCs w:val="28"/>
              </w:rPr>
              <w:t>院HIS网络</w:t>
            </w:r>
            <w:r>
              <w:rPr>
                <w:rFonts w:hint="eastAsia" w:ascii="仿宋_GB2312" w:hAnsi="仿宋_GB2312" w:eastAsia="仿宋_GB2312" w:cs="仿宋_GB2312"/>
                <w:sz w:val="28"/>
                <w:szCs w:val="28"/>
                <w:lang w:val="en-US" w:eastAsia="zh-CN"/>
              </w:rPr>
              <w:t>和PACS</w:t>
            </w:r>
            <w:r>
              <w:rPr>
                <w:rFonts w:hint="eastAsia" w:ascii="仿宋_GB2312" w:hAnsi="仿宋_GB2312" w:eastAsia="仿宋_GB2312" w:cs="仿宋_GB2312"/>
                <w:sz w:val="28"/>
                <w:szCs w:val="28"/>
              </w:rPr>
              <w:t>的，验收时按</w:t>
            </w:r>
            <w:r>
              <w:rPr>
                <w:rFonts w:hint="eastAsia" w:ascii="仿宋_GB2312" w:hAnsi="仿宋_GB2312" w:eastAsia="仿宋_GB2312" w:cs="仿宋_GB2312"/>
                <w:sz w:val="28"/>
                <w:szCs w:val="28"/>
                <w:lang w:val="en-US" w:eastAsia="zh-CN"/>
              </w:rPr>
              <w:t>医</w:t>
            </w:r>
            <w:r>
              <w:rPr>
                <w:rFonts w:hint="eastAsia" w:ascii="仿宋_GB2312" w:hAnsi="仿宋_GB2312" w:eastAsia="仿宋_GB2312" w:cs="仿宋_GB2312"/>
                <w:sz w:val="28"/>
                <w:szCs w:val="28"/>
              </w:rPr>
              <w:t>院要求能查询到网络数据，产生的费用全部由中标方承担。</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知识产权</w:t>
            </w:r>
          </w:p>
        </w:tc>
        <w:tc>
          <w:tcPr>
            <w:tcW w:w="8678" w:type="dxa"/>
            <w:tcBorders>
              <w:top w:val="single" w:color="000000" w:sz="4" w:space="0"/>
              <w:left w:val="single" w:color="000000" w:sz="4" w:space="0"/>
              <w:bottom w:val="single" w:color="000000" w:sz="4" w:space="0"/>
              <w:right w:val="single" w:color="000000" w:sz="4" w:space="0"/>
            </w:tcBorders>
            <w:noWrap/>
          </w:tcPr>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采购人在中华人民共和国境内使用成交供应商提供的产品及服务时免受第三方提出的侵犯其专利权或其它知识产权的起诉。如果第三方提出侵权指控，成交供应商应承担由此而引起的一切法律责任和费用。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其他要求</w:t>
            </w:r>
          </w:p>
        </w:tc>
        <w:tc>
          <w:tcPr>
            <w:tcW w:w="8678" w:type="dxa"/>
            <w:tcBorders>
              <w:top w:val="single" w:color="000000" w:sz="4" w:space="0"/>
              <w:left w:val="single" w:color="000000" w:sz="4" w:space="0"/>
              <w:bottom w:val="single" w:color="000000" w:sz="4" w:space="0"/>
              <w:right w:val="single" w:color="000000" w:sz="4" w:space="0"/>
            </w:tcBorders>
            <w:shd w:val="clear" w:color="auto" w:fill="auto"/>
            <w:noWrap/>
          </w:tcPr>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1.采购人提供必要安装条件(如场地、电源、水源等)，供应商负责合同项下的安装、调试及培训工作。 </w:t>
            </w:r>
          </w:p>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2.供应商安装时须对各安装场地内的其他设备、设施有良好的保护措施。若因安装行为改造或损坏场地内其他设备设施，产生的后果以及费用由供应商负责。 </w:t>
            </w:r>
          </w:p>
          <w:p>
            <w:pPr>
              <w:snapToGrid w:val="0"/>
              <w:spacing w:line="360" w:lineRule="exact"/>
              <w:jc w:val="left"/>
              <w:outlineLvl w:val="0"/>
              <w:rPr>
                <w:rFonts w:ascii="方正仿宋_GB2312" w:hAnsi="方正仿宋_GB2312" w:eastAsia="方正仿宋_GB2312" w:cs="方正仿宋_GB2312"/>
                <w:sz w:val="28"/>
                <w:szCs w:val="28"/>
              </w:rPr>
            </w:pPr>
            <w:r>
              <w:rPr>
                <w:rFonts w:hint="eastAsia" w:ascii="仿宋_GB2312" w:hAnsi="仿宋_GB2312" w:eastAsia="仿宋_GB2312" w:cs="仿宋_GB2312"/>
                <w:sz w:val="28"/>
                <w:szCs w:val="28"/>
              </w:rPr>
              <w:t>3.供应商负责为采购人有关人员培训。培训时间、地点:</w:t>
            </w:r>
            <w:r>
              <w:rPr>
                <w:rFonts w:hint="eastAsia" w:ascii="仿宋_GB2312" w:hAnsi="仿宋_GB2312" w:eastAsia="仿宋_GB2312" w:cs="仿宋_GB2312"/>
                <w:b/>
                <w:bCs/>
                <w:color w:val="C00000"/>
                <w:sz w:val="28"/>
                <w:szCs w:val="28"/>
              </w:rPr>
              <w:t>北流</w:t>
            </w:r>
            <w:r>
              <w:rPr>
                <w:rFonts w:hint="eastAsia" w:ascii="仿宋_GB2312" w:hAnsi="仿宋_GB2312" w:eastAsia="仿宋_GB2312" w:cs="仿宋_GB2312"/>
                <w:sz w:val="28"/>
                <w:szCs w:val="28"/>
              </w:rPr>
              <w:t xml:space="preserve">市内采购人指定的时间、地点。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29" w:hRule="atLeast"/>
          <w:jc w:val="center"/>
        </w:trPr>
        <w:tc>
          <w:tcPr>
            <w:tcW w:w="10024" w:type="dxa"/>
            <w:gridSpan w:val="2"/>
            <w:tcBorders>
              <w:top w:val="single" w:color="000000" w:sz="4" w:space="0"/>
              <w:left w:val="single" w:color="000000" w:sz="4" w:space="0"/>
              <w:bottom w:val="single" w:color="000000" w:sz="4" w:space="0"/>
              <w:right w:val="single" w:color="000000" w:sz="4" w:space="0"/>
            </w:tcBorders>
            <w:noWrap/>
            <w:vAlign w:val="center"/>
          </w:tcPr>
          <w:p>
            <w:pPr>
              <w:snapToGrid w:val="0"/>
              <w:spacing w:line="36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b/>
                <w:bCs/>
                <w:sz w:val="28"/>
                <w:szCs w:val="28"/>
              </w:rPr>
              <w:t>与实现项目目标相关的其他要求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1346"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进口产品说明</w:t>
            </w:r>
          </w:p>
        </w:tc>
        <w:tc>
          <w:tcPr>
            <w:tcW w:w="8678" w:type="dxa"/>
            <w:tcBorders>
              <w:top w:val="single" w:color="000000" w:sz="4" w:space="0"/>
              <w:left w:val="single" w:color="000000" w:sz="4" w:space="0"/>
              <w:bottom w:val="single" w:color="000000" w:sz="4" w:space="0"/>
              <w:right w:val="single" w:color="000000" w:sz="4" w:space="0"/>
            </w:tcBorders>
            <w:noWrap/>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本项目货物不接受进口产品（即通过中国海关报关验放进入中国境内且产自关境外的产品）参与竞标，</w:t>
            </w:r>
            <w:r>
              <w:rPr>
                <w:rFonts w:hint="eastAsia" w:ascii="仿宋_GB2312" w:hAnsi="仿宋_GB2312" w:eastAsia="仿宋_GB2312" w:cs="仿宋_GB2312"/>
                <w:b/>
                <w:sz w:val="28"/>
                <w:szCs w:val="28"/>
              </w:rPr>
              <w:t>如有进口产品参与竞标的作无效标处理</w:t>
            </w:r>
            <w:r>
              <w:rPr>
                <w:rFonts w:hint="eastAsia" w:ascii="仿宋_GB2312" w:hAnsi="仿宋_GB2312" w:eastAsia="仿宋_GB2312" w:cs="仿宋_GB2312"/>
                <w:sz w:val="28"/>
                <w:szCs w:val="28"/>
              </w:rPr>
              <w:t>。</w:t>
            </w: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Y2NkZTQyODAxNDJjZjhjNGE4YjY1MDFiYzY0ZGEifQ=="/>
  </w:docVars>
  <w:rsids>
    <w:rsidRoot w:val="78887C68"/>
    <w:rsid w:val="00087D61"/>
    <w:rsid w:val="04006926"/>
    <w:rsid w:val="044B56EE"/>
    <w:rsid w:val="04E57647"/>
    <w:rsid w:val="05D67331"/>
    <w:rsid w:val="06D7510F"/>
    <w:rsid w:val="09045B84"/>
    <w:rsid w:val="097E12E4"/>
    <w:rsid w:val="12432C07"/>
    <w:rsid w:val="15DF5D8E"/>
    <w:rsid w:val="16337E88"/>
    <w:rsid w:val="16491FD1"/>
    <w:rsid w:val="171952CF"/>
    <w:rsid w:val="1AB24257"/>
    <w:rsid w:val="1C5F52A4"/>
    <w:rsid w:val="1CAD66B7"/>
    <w:rsid w:val="1CCF0BD4"/>
    <w:rsid w:val="219A4CA8"/>
    <w:rsid w:val="224D0523"/>
    <w:rsid w:val="22612757"/>
    <w:rsid w:val="2270087B"/>
    <w:rsid w:val="22DB7E2F"/>
    <w:rsid w:val="25133913"/>
    <w:rsid w:val="26E8081A"/>
    <w:rsid w:val="28B210E0"/>
    <w:rsid w:val="29491A44"/>
    <w:rsid w:val="2E2B3745"/>
    <w:rsid w:val="33C20D10"/>
    <w:rsid w:val="38FA4113"/>
    <w:rsid w:val="39D7374E"/>
    <w:rsid w:val="3D6C3AFB"/>
    <w:rsid w:val="3DBD4357"/>
    <w:rsid w:val="439B47F3"/>
    <w:rsid w:val="45666CD5"/>
    <w:rsid w:val="4723347D"/>
    <w:rsid w:val="48FE3ECC"/>
    <w:rsid w:val="4C5A7335"/>
    <w:rsid w:val="4D2B4E39"/>
    <w:rsid w:val="50D15CF8"/>
    <w:rsid w:val="53E912CF"/>
    <w:rsid w:val="55D84CFA"/>
    <w:rsid w:val="56D06A51"/>
    <w:rsid w:val="57BC1DE9"/>
    <w:rsid w:val="581B1F4E"/>
    <w:rsid w:val="5F36141C"/>
    <w:rsid w:val="611F19B7"/>
    <w:rsid w:val="62985252"/>
    <w:rsid w:val="65491EA9"/>
    <w:rsid w:val="654E3963"/>
    <w:rsid w:val="65870F0C"/>
    <w:rsid w:val="664D3C1B"/>
    <w:rsid w:val="66803BBE"/>
    <w:rsid w:val="67294656"/>
    <w:rsid w:val="69F0140A"/>
    <w:rsid w:val="6C4B1A75"/>
    <w:rsid w:val="6E9F6A53"/>
    <w:rsid w:val="6FAC7C04"/>
    <w:rsid w:val="6FD22609"/>
    <w:rsid w:val="71172E74"/>
    <w:rsid w:val="72C01802"/>
    <w:rsid w:val="77F24622"/>
    <w:rsid w:val="78887C68"/>
    <w:rsid w:val="7A494379"/>
    <w:rsid w:val="7AEF4E49"/>
    <w:rsid w:val="7B206957"/>
    <w:rsid w:val="7BB10350"/>
    <w:rsid w:val="7CC876FF"/>
    <w:rsid w:val="7D910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4783</Words>
  <Characters>5011</Characters>
  <Lines>0</Lines>
  <Paragraphs>0</Paragraphs>
  <TotalTime>4</TotalTime>
  <ScaleCrop>false</ScaleCrop>
  <LinksUpToDate>false</LinksUpToDate>
  <CharactersWithSpaces>5032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冯钢</cp:lastModifiedBy>
  <dcterms:modified xsi:type="dcterms:W3CDTF">2026-07-22T09:04:16Z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CDFFC6FBC71D436BA84C656C11D1BEB3_13</vt:lpwstr>
  </property>
</Properties>
</file>