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06" w:firstLineChars="500"/>
        <w:rPr>
          <w:rFonts w:hint="eastAsia"/>
          <w:b/>
          <w:bCs/>
          <w:sz w:val="32"/>
          <w:szCs w:val="32"/>
        </w:rPr>
      </w:pPr>
      <w:r>
        <w:rPr>
          <w:rFonts w:hint="eastAsia"/>
          <w:b/>
          <w:bCs/>
          <w:sz w:val="32"/>
          <w:szCs w:val="32"/>
        </w:rPr>
        <w:t>县域慢病管理信息化系统功能需求书</w:t>
      </w:r>
    </w:p>
    <w:p>
      <w:pPr>
        <w:rPr>
          <w:rFonts w:hint="eastAsia"/>
        </w:rPr>
      </w:pPr>
      <w:r>
        <w:rPr>
          <w:rFonts w:hint="eastAsia"/>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适用范围：县域医共体（县医院+乡镇卫生院+村卫生室）慢病全流程管理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国家县域慢病管理中心建设标准、紧密型县域医共体信息化功能指引、WS/T 449-2014 慢性病监测信息系统基本功能规范 </w:t>
      </w:r>
    </w:p>
    <w:p>
      <w:pPr>
        <w:rPr>
          <w:rFonts w:hint="eastAsia"/>
        </w:rPr>
      </w:pPr>
      <w:r>
        <w:rPr>
          <w:rFonts w:hint="eastAsia"/>
          <w:b/>
          <w:bCs/>
          <w:sz w:val="28"/>
          <w:szCs w:val="28"/>
        </w:rPr>
        <w:t>一、项目总目标</w:t>
      </w:r>
      <w:r>
        <w:rPr>
          <w:rFonts w:hint="eastAsia"/>
        </w:rPr>
        <w:t xml:space="preserve"> </w:t>
      </w:r>
      <w:bookmarkStart w:id="0" w:name="_GoBack"/>
      <w:bookmarkEnd w:id="0"/>
    </w:p>
    <w:p>
      <w:pPr>
        <w:rPr>
          <w:rFonts w:hint="eastAsia"/>
          <w:b w:val="0"/>
          <w:bCs w:val="0"/>
          <w:sz w:val="24"/>
          <w:szCs w:val="24"/>
          <w:lang w:val="en-US" w:eastAsia="zh-CN"/>
        </w:rPr>
      </w:pPr>
      <w:r>
        <w:rPr>
          <w:rFonts w:hint="eastAsia" w:asciiTheme="minorEastAsia" w:hAnsiTheme="minorEastAsia" w:eastAsiaTheme="minorEastAsia" w:cstheme="minorEastAsia"/>
          <w:sz w:val="24"/>
          <w:szCs w:val="24"/>
        </w:rPr>
        <w:t>1.构建县</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乡</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村一体化慢病管理平台，</w:t>
      </w:r>
      <w:r>
        <w:rPr>
          <w:rFonts w:hint="eastAsia"/>
          <w:sz w:val="24"/>
          <w:szCs w:val="24"/>
          <w:lang w:val="en-US" w:eastAsia="zh-CN"/>
        </w:rPr>
        <w:t>支持多病种管理（六大慢病一定要有：高血压、糖尿病、脑卒中、慢阻肺、冠心病、慢性肾病）等、</w:t>
      </w:r>
      <w:r>
        <w:rPr>
          <w:rFonts w:hint="eastAsia"/>
          <w:b w:val="0"/>
          <w:bCs w:val="0"/>
          <w:sz w:val="24"/>
          <w:szCs w:val="24"/>
          <w:lang w:val="en-US" w:eastAsia="zh-CN"/>
        </w:rPr>
        <w:t>共病管理。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2.打通院内系统与公卫、基层、医保、体检数据，形成动态电子健康档案。</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3.实现智能筛查、自动入组、规范随访、双向转诊、风险预警、质控考核、决策分析。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4.满足等级保护、数据安全、隐私合规，支撑慢病中心验收与常态化运营。</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二、总体技术与对接要求</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4"/>
          <w:szCs w:val="24"/>
        </w:rPr>
        <w:t>（一）部署与架构</w:t>
      </w:r>
    </w:p>
    <w:p>
      <w:pPr>
        <w:numPr>
          <w:ilvl w:val="0"/>
          <w:numId w:val="1"/>
        </w:numPr>
        <w:rPr>
          <w:rFonts w:hint="eastAsia"/>
          <w:sz w:val="24"/>
          <w:szCs w:val="24"/>
          <w:lang w:val="en-US" w:eastAsia="zh-CN"/>
        </w:rPr>
      </w:pPr>
      <w:r>
        <w:rPr>
          <w:rFonts w:hint="eastAsia"/>
          <w:sz w:val="24"/>
          <w:szCs w:val="24"/>
          <w:lang w:val="en-US" w:eastAsia="zh-CN"/>
        </w:rPr>
        <w:t>县医院及社区卫生服务中心/乡镇卫生院、村卫生室共同部署慢病管理信息化系统；</w:t>
      </w:r>
    </w:p>
    <w:p>
      <w:pPr>
        <w:numPr>
          <w:ilvl w:val="0"/>
          <w:numId w:val="1"/>
        </w:numPr>
        <w:rPr>
          <w:rFonts w:hint="default"/>
          <w:sz w:val="24"/>
          <w:szCs w:val="24"/>
          <w:lang w:val="en-US" w:eastAsia="zh-CN"/>
        </w:rPr>
      </w:pPr>
      <w:r>
        <w:rPr>
          <w:rFonts w:hint="eastAsia"/>
          <w:sz w:val="24"/>
          <w:szCs w:val="24"/>
          <w:lang w:val="en-US" w:eastAsia="zh-CN"/>
        </w:rPr>
        <w:t>慢病管理信息化系统与县医院HIS、LIS、PACS等系统对接；</w:t>
      </w:r>
    </w:p>
    <w:p>
      <w:pPr>
        <w:numPr>
          <w:ilvl w:val="0"/>
          <w:numId w:val="1"/>
        </w:numPr>
        <w:rPr>
          <w:rFonts w:hint="default"/>
          <w:sz w:val="24"/>
          <w:szCs w:val="24"/>
          <w:lang w:val="en-US" w:eastAsia="zh-CN"/>
        </w:rPr>
      </w:pPr>
      <w:r>
        <w:rPr>
          <w:rFonts w:hint="eastAsia"/>
          <w:sz w:val="24"/>
          <w:szCs w:val="24"/>
          <w:lang w:val="en-US" w:eastAsia="zh-CN"/>
        </w:rPr>
        <w:t>慢病管理信息化系统与区域内基本公共卫生服务系统及乡镇卫生院/社区卫生服务中心HIS、LIS对接；</w:t>
      </w:r>
    </w:p>
    <w:p>
      <w:pPr>
        <w:numPr>
          <w:ilvl w:val="0"/>
          <w:numId w:val="0"/>
        </w:numPr>
        <w:rPr>
          <w:rFonts w:hint="eastAsia" w:asciiTheme="minorEastAsia" w:hAnsiTheme="minorEastAsia" w:eastAsiaTheme="minorEastAsia" w:cstheme="minorEastAsia"/>
          <w:b/>
          <w:bCs/>
          <w:sz w:val="28"/>
          <w:szCs w:val="28"/>
        </w:rPr>
      </w:pPr>
      <w:r>
        <w:rPr>
          <w:rFonts w:hint="eastAsia"/>
          <w:sz w:val="24"/>
          <w:szCs w:val="24"/>
          <w:lang w:val="en-US" w:eastAsia="zh-CN"/>
        </w:rPr>
        <w:t>4.慢病管理信息化系统为本地化部署。</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兼容现有虚拟化、备份、安全体系。</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rPr>
        <w:t>采用微服务/模块化架构，支持按需扩展、迭代升级。</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提供PC端+移动端（医生端/患者端），适配基层电脑、平板、微信小程序。</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（二）必须对接系统</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对接系统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对接内容</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数据要求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HIS</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门诊/住院、诊断、处方、收费、挂号、体征</w:t>
            </w:r>
          </w:p>
        </w:tc>
        <w:tc>
          <w:tcPr>
            <w:tcW w:w="2841"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实时/准实时，按身份证号匹配 </w:t>
            </w:r>
          </w:p>
          <w:p>
            <w:pPr>
              <w:rPr>
                <w:rFonts w:hint="eastAsia" w:asciiTheme="minorEastAsia" w:hAnsiTheme="minorEastAsia" w:eastAsiaTheme="minorEastAsia" w:cstheme="minor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EMR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病历、病程、出院小结、并发症、手术史</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全量同步，支持回溯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LIS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血糖、血脂、肝肾功能、尿常规等检验指标</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自动抓取、异常标记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PACS</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影像报告、心电、胸片、CT/核磁结论</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报告调阅、关键结论提取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公卫系统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慢病档案、家庭医生签约、老年人体检</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 数据互通、去重、质控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体检系统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健康体检、高危筛查、危险因素</w:t>
            </w:r>
          </w:p>
        </w:tc>
        <w:tc>
          <w:tcPr>
            <w:tcW w:w="2841"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自动入组、风险评估 </w:t>
            </w:r>
          </w:p>
          <w:p>
            <w:pPr>
              <w:rPr>
                <w:rFonts w:hint="eastAsia" w:asciiTheme="minorEastAsia" w:hAnsiTheme="minorEastAsia" w:eastAsiaTheme="minorEastAsia" w:cstheme="minor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双向转诊系统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转诊单、上转/下转、会诊、随访闭环</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一键转诊、进度可查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 xml:space="preserve">区域健康平台 </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居民健康档案、电子健康卡、数据上报</w:t>
            </w:r>
          </w:p>
        </w:tc>
        <w:tc>
          <w:tcPr>
            <w:tcW w:w="2841"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满足上级平台接口规范 </w:t>
            </w:r>
          </w:p>
          <w:p>
            <w:pPr>
              <w:rPr>
                <w:rFonts w:hint="eastAsia" w:asciiTheme="minorEastAsia" w:hAnsiTheme="minorEastAsia" w:eastAsiaTheme="minorEastAsia" w:cstheme="minor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可穿戴/公卫设备</w:t>
            </w:r>
          </w:p>
        </w:tc>
        <w:tc>
          <w:tcPr>
            <w:tcW w:w="2841"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血压、血糖、心电、体重等设备数据</w:t>
            </w:r>
          </w:p>
        </w:tc>
        <w:tc>
          <w:tcPr>
            <w:tcW w:w="2841" w:type="dxa"/>
          </w:tcPr>
          <w:p>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自动采集、实时上传</w:t>
            </w: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（三）接口与数据标准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遵循国家健康信息互联互通标准、HL7、FHIR、卫生统计信息标准。</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统一主索引：以身份证号为唯一标识，去重合并档案。</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统一编码：ICD-10、药品编码、检验编码、行政区划编码。</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接口方式：API/webservice/中间库，支持日志、重传、幂等、异常告警。</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三、核心业务功能需求</w:t>
      </w:r>
    </w:p>
    <w:p>
      <w:pPr>
        <w:numPr>
          <w:ilvl w:val="0"/>
          <w:numId w:val="0"/>
        </w:numPr>
        <w:rPr>
          <w:rFonts w:hint="default"/>
          <w:sz w:val="24"/>
          <w:szCs w:val="24"/>
          <w:lang w:val="en-US" w:eastAsia="zh-CN"/>
        </w:rPr>
      </w:pPr>
      <w:r>
        <w:rPr>
          <w:rFonts w:hint="eastAsia"/>
          <w:sz w:val="24"/>
          <w:szCs w:val="24"/>
          <w:lang w:val="en-US" w:eastAsia="zh-CN"/>
        </w:rPr>
        <w:t>1.慢病人群建档与纳管；</w:t>
      </w:r>
    </w:p>
    <w:p>
      <w:pPr>
        <w:numPr>
          <w:ilvl w:val="0"/>
          <w:numId w:val="0"/>
        </w:numPr>
        <w:rPr>
          <w:rFonts w:hint="default"/>
          <w:sz w:val="24"/>
          <w:szCs w:val="24"/>
          <w:lang w:val="en-US" w:eastAsia="zh-CN"/>
        </w:rPr>
      </w:pPr>
      <w:r>
        <w:rPr>
          <w:rFonts w:hint="eastAsia"/>
          <w:sz w:val="24"/>
          <w:szCs w:val="24"/>
          <w:lang w:val="en-US" w:eastAsia="zh-CN"/>
        </w:rPr>
        <w:t>2.慢病主动筛查、机会性筛查与风险评估；</w:t>
      </w:r>
    </w:p>
    <w:p>
      <w:pPr>
        <w:numPr>
          <w:ilvl w:val="0"/>
          <w:numId w:val="0"/>
        </w:numPr>
        <w:rPr>
          <w:rFonts w:hint="default"/>
          <w:sz w:val="24"/>
          <w:szCs w:val="24"/>
          <w:lang w:val="en-US" w:eastAsia="zh-CN"/>
        </w:rPr>
      </w:pPr>
      <w:r>
        <w:rPr>
          <w:rFonts w:hint="eastAsia"/>
          <w:sz w:val="24"/>
          <w:szCs w:val="24"/>
          <w:lang w:val="en-US" w:eastAsia="zh-CN"/>
        </w:rPr>
        <w:t>3.个性化慢病长期管理方案；</w:t>
      </w:r>
    </w:p>
    <w:p>
      <w:pPr>
        <w:numPr>
          <w:ilvl w:val="0"/>
          <w:numId w:val="0"/>
        </w:numPr>
        <w:rPr>
          <w:rFonts w:hint="default"/>
          <w:sz w:val="24"/>
          <w:szCs w:val="24"/>
          <w:lang w:val="en-US" w:eastAsia="zh-CN"/>
        </w:rPr>
      </w:pPr>
      <w:r>
        <w:rPr>
          <w:rFonts w:hint="eastAsia"/>
          <w:sz w:val="24"/>
          <w:szCs w:val="24"/>
          <w:lang w:val="en-US" w:eastAsia="zh-CN"/>
        </w:rPr>
        <w:t>4.随访管理；</w:t>
      </w:r>
    </w:p>
    <w:p>
      <w:pPr>
        <w:numPr>
          <w:ilvl w:val="0"/>
          <w:numId w:val="0"/>
        </w:numPr>
        <w:rPr>
          <w:rFonts w:hint="default"/>
          <w:sz w:val="24"/>
          <w:szCs w:val="24"/>
          <w:lang w:val="en-US" w:eastAsia="zh-CN"/>
        </w:rPr>
      </w:pPr>
      <w:r>
        <w:rPr>
          <w:rFonts w:hint="eastAsia"/>
          <w:sz w:val="24"/>
          <w:szCs w:val="24"/>
          <w:lang w:val="en-US" w:eastAsia="zh-CN"/>
        </w:rPr>
        <w:t>5.转诊；</w:t>
      </w:r>
    </w:p>
    <w:p>
      <w:pPr>
        <w:numPr>
          <w:ilvl w:val="0"/>
          <w:numId w:val="0"/>
        </w:numPr>
        <w:rPr>
          <w:rFonts w:hint="default"/>
          <w:sz w:val="24"/>
          <w:szCs w:val="24"/>
          <w:lang w:val="en-US" w:eastAsia="zh-CN"/>
        </w:rPr>
      </w:pPr>
      <w:r>
        <w:rPr>
          <w:rFonts w:hint="eastAsia"/>
          <w:sz w:val="24"/>
          <w:szCs w:val="24"/>
          <w:lang w:val="en-US" w:eastAsia="zh-CN"/>
        </w:rPr>
        <w:t>6.患者自我管理；</w:t>
      </w:r>
    </w:p>
    <w:p>
      <w:pPr>
        <w:numPr>
          <w:ilvl w:val="0"/>
          <w:numId w:val="0"/>
        </w:numPr>
        <w:rPr>
          <w:rFonts w:hint="default"/>
          <w:sz w:val="24"/>
          <w:szCs w:val="24"/>
          <w:lang w:val="en-US" w:eastAsia="zh-CN"/>
        </w:rPr>
      </w:pPr>
      <w:r>
        <w:rPr>
          <w:rFonts w:hint="eastAsia"/>
          <w:sz w:val="24"/>
          <w:szCs w:val="24"/>
          <w:lang w:val="en-US" w:eastAsia="zh-CN"/>
        </w:rPr>
        <w:t>7.可穿戴设备远程监控与危机预警；</w:t>
      </w:r>
    </w:p>
    <w:p>
      <w:pPr>
        <w:numPr>
          <w:ilvl w:val="0"/>
          <w:numId w:val="0"/>
        </w:numPr>
        <w:rPr>
          <w:rFonts w:hint="default"/>
          <w:sz w:val="24"/>
          <w:szCs w:val="24"/>
          <w:lang w:val="en-US" w:eastAsia="zh-CN"/>
        </w:rPr>
      </w:pPr>
      <w:r>
        <w:rPr>
          <w:rFonts w:hint="eastAsia"/>
          <w:sz w:val="24"/>
          <w:szCs w:val="24"/>
          <w:lang w:val="en-US" w:eastAsia="zh-CN"/>
        </w:rPr>
        <w:t>8.异常提醒与危机预警；</w:t>
      </w:r>
    </w:p>
    <w:p>
      <w:pPr>
        <w:numPr>
          <w:ilvl w:val="0"/>
          <w:numId w:val="0"/>
        </w:numPr>
        <w:rPr>
          <w:rFonts w:hint="default"/>
          <w:sz w:val="24"/>
          <w:szCs w:val="24"/>
          <w:lang w:val="en-US" w:eastAsia="zh-CN"/>
        </w:rPr>
      </w:pPr>
      <w:r>
        <w:rPr>
          <w:rFonts w:hint="eastAsia"/>
          <w:sz w:val="24"/>
          <w:szCs w:val="24"/>
          <w:lang w:val="en-US" w:eastAsia="zh-CN"/>
        </w:rPr>
        <w:t>9.健康教育；</w:t>
      </w:r>
    </w:p>
    <w:p>
      <w:pPr>
        <w:numPr>
          <w:ilvl w:val="0"/>
          <w:numId w:val="0"/>
        </w:numPr>
        <w:rPr>
          <w:rFonts w:hint="default"/>
          <w:sz w:val="24"/>
          <w:szCs w:val="24"/>
          <w:lang w:val="en-US" w:eastAsia="zh-CN"/>
        </w:rPr>
      </w:pPr>
      <w:r>
        <w:rPr>
          <w:rFonts w:hint="eastAsia"/>
          <w:sz w:val="24"/>
          <w:szCs w:val="24"/>
          <w:lang w:val="en-US" w:eastAsia="zh-CN"/>
        </w:rPr>
        <w:t>10.线上问诊；</w:t>
      </w:r>
    </w:p>
    <w:p>
      <w:pPr>
        <w:numPr>
          <w:ilvl w:val="0"/>
          <w:numId w:val="0"/>
        </w:numPr>
        <w:rPr>
          <w:rFonts w:hint="default"/>
          <w:sz w:val="24"/>
          <w:szCs w:val="24"/>
          <w:lang w:val="en-US" w:eastAsia="zh-CN"/>
        </w:rPr>
      </w:pPr>
      <w:r>
        <w:rPr>
          <w:rFonts w:hint="eastAsia"/>
          <w:sz w:val="24"/>
          <w:szCs w:val="24"/>
          <w:lang w:val="en-US" w:eastAsia="zh-CN"/>
        </w:rPr>
        <w:t>11.支持区域主要慢性病管理数据的可视化统计分析与县域慢病管理中心评价数据上报；</w:t>
      </w:r>
    </w:p>
    <w:p>
      <w:pPr>
        <w:numPr>
          <w:ilvl w:val="0"/>
          <w:numId w:val="0"/>
        </w:numPr>
        <w:rPr>
          <w:rFonts w:hint="default"/>
          <w:sz w:val="24"/>
          <w:szCs w:val="24"/>
          <w:lang w:val="en-US" w:eastAsia="zh-CN"/>
        </w:rPr>
      </w:pPr>
      <w:r>
        <w:rPr>
          <w:rFonts w:hint="eastAsia"/>
          <w:sz w:val="24"/>
          <w:szCs w:val="24"/>
          <w:lang w:val="en-US" w:eastAsia="zh-CN"/>
        </w:rPr>
        <w:t>12.支持慢病管理绩效考核工作的开展；</w:t>
      </w:r>
    </w:p>
    <w:p>
      <w:pPr>
        <w:numPr>
          <w:ilvl w:val="0"/>
          <w:numId w:val="0"/>
        </w:numPr>
        <w:rPr>
          <w:rFonts w:hint="default"/>
          <w:sz w:val="24"/>
          <w:szCs w:val="24"/>
          <w:lang w:val="en-US" w:eastAsia="zh-CN"/>
        </w:rPr>
      </w:pPr>
      <w:r>
        <w:rPr>
          <w:rFonts w:hint="eastAsia"/>
          <w:sz w:val="24"/>
          <w:szCs w:val="24"/>
          <w:lang w:val="en-US" w:eastAsia="zh-CN"/>
        </w:rPr>
        <w:t>13.主要慢性病建档与纳管二级</w:t>
      </w:r>
      <w:r>
        <w:rPr>
          <w:rFonts w:hint="eastAsia" w:ascii="宋体" w:hAnsi="宋体" w:eastAsia="宋体" w:cs="宋体"/>
          <w:sz w:val="24"/>
          <w:szCs w:val="24"/>
          <w:lang w:eastAsia="zh-CN"/>
        </w:rPr>
        <w:t>指标：（</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）主要慢性病人群合格建档率（</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）主要慢性病患者合格纳管率（</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）主要慢性病高危人群合格纳管率</w:t>
      </w:r>
    </w:p>
    <w:p>
      <w:pPr>
        <w:numPr>
          <w:ilvl w:val="0"/>
          <w:numId w:val="0"/>
        </w:numPr>
        <w:rPr>
          <w:rFonts w:hint="default"/>
          <w:sz w:val="24"/>
          <w:szCs w:val="24"/>
          <w:lang w:val="en-US" w:eastAsia="zh-CN"/>
        </w:rPr>
      </w:pPr>
      <w:r>
        <w:rPr>
          <w:rFonts w:hint="eastAsia" w:ascii="宋体" w:hAnsi="宋体" w:eastAsia="宋体" w:cs="宋体"/>
          <w:sz w:val="24"/>
          <w:szCs w:val="24"/>
          <w:lang w:val="en-US" w:eastAsia="zh-CN"/>
        </w:rPr>
        <w:t>14.</w:t>
      </w:r>
      <w:r>
        <w:rPr>
          <w:rFonts w:hint="eastAsia" w:ascii="宋体" w:hAnsi="宋体" w:eastAsia="宋体" w:cs="宋体"/>
          <w:sz w:val="24"/>
          <w:szCs w:val="24"/>
          <w:lang w:eastAsia="zh-CN"/>
        </w:rPr>
        <w:t>主要慢性病筛查二级指标：（</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）主要慢性病筛查覆盖率（</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）主要慢性病专病诊断性检查率（</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）开展主要慢性病门诊机会性筛查人数</w:t>
      </w:r>
    </w:p>
    <w:p>
      <w:pPr>
        <w:numPr>
          <w:ilvl w:val="0"/>
          <w:numId w:val="0"/>
        </w:numPr>
        <w:rPr>
          <w:rFonts w:hint="default"/>
          <w:sz w:val="24"/>
          <w:szCs w:val="24"/>
          <w:lang w:val="en-US" w:eastAsia="zh-CN"/>
        </w:rPr>
      </w:pPr>
      <w:r>
        <w:rPr>
          <w:rFonts w:hint="eastAsia"/>
          <w:sz w:val="24"/>
          <w:szCs w:val="24"/>
          <w:lang w:val="en-US" w:eastAsia="zh-CN"/>
        </w:rPr>
        <w:t>15.主要慢性病诊疗二级指标：（1）各主要慢性病就诊率（2）各主要慢性病复诊率（3）各主要慢性病复诊频次（4）合格纳管的高血压患者至少2项核心指标（血压、血糖、血脂）达标率（5）合格纳管的糖尿病患者核心指标（血压、血糖、血脂）3项达标率或糖化血红蛋白达标率（6）合格纳管的冠心病患者至少2项核心指标（血压、血糖、血脂）达标率（7）合格纳管的脑卒中患者至少1项核心指标（脑血管超声、CTA、MRA）检查率（8）合格纳管的慢阻肺患者因慢阻肺病急性加重住院比率（9）合格纳管的慢性肾病患者至少2项核心指标（血压、血糖、血脂）达标率；</w:t>
      </w:r>
    </w:p>
    <w:p>
      <w:pPr>
        <w:numPr>
          <w:ilvl w:val="0"/>
          <w:numId w:val="0"/>
        </w:numPr>
        <w:rPr>
          <w:rFonts w:hint="default"/>
          <w:sz w:val="24"/>
          <w:szCs w:val="24"/>
          <w:lang w:val="en-US" w:eastAsia="zh-CN"/>
        </w:rPr>
      </w:pPr>
      <w:r>
        <w:rPr>
          <w:rFonts w:hint="eastAsia"/>
          <w:sz w:val="24"/>
          <w:szCs w:val="24"/>
          <w:lang w:val="en-US" w:eastAsia="zh-CN"/>
        </w:rPr>
        <w:t>16.慢病管理服务包；</w:t>
      </w:r>
    </w:p>
    <w:p>
      <w:pPr>
        <w:numPr>
          <w:ilvl w:val="0"/>
          <w:numId w:val="0"/>
        </w:numPr>
        <w:rPr>
          <w:rFonts w:hint="default"/>
          <w:sz w:val="24"/>
          <w:szCs w:val="24"/>
          <w:lang w:val="en-US" w:eastAsia="zh-CN"/>
        </w:rPr>
      </w:pPr>
      <w:r>
        <w:rPr>
          <w:rFonts w:hint="eastAsia"/>
          <w:sz w:val="24"/>
          <w:szCs w:val="24"/>
          <w:lang w:val="en-US" w:eastAsia="zh-CN"/>
        </w:rPr>
        <w:t>17.主要慢性病随访二级指标：（1）稳定期基础慢性病患者规范随访率/规范健康服务率（2）非稳定期基础慢性病患者及严重慢性病患者随访率；（3）主要慢性病高危人群生活方式指导率；</w:t>
      </w:r>
    </w:p>
    <w:p>
      <w:pPr>
        <w:numPr>
          <w:ilvl w:val="0"/>
          <w:numId w:val="0"/>
        </w:numPr>
        <w:rPr>
          <w:rFonts w:hint="default"/>
          <w:sz w:val="24"/>
          <w:szCs w:val="24"/>
          <w:lang w:val="en-US" w:eastAsia="zh-CN"/>
        </w:rPr>
      </w:pPr>
      <w:r>
        <w:rPr>
          <w:rFonts w:hint="eastAsia"/>
          <w:sz w:val="24"/>
          <w:szCs w:val="24"/>
          <w:lang w:val="en-US" w:eastAsia="zh-CN"/>
        </w:rPr>
        <w:t>18.主要慢性病转诊二级指标：（1）县医院稳定期基础慢性病患者向下转诊人数；（2）社区卫生服务中心/乡镇卫生院主要慢性病向上转诊人数；</w:t>
      </w:r>
    </w:p>
    <w:p>
      <w:pPr>
        <w:numPr>
          <w:ilvl w:val="0"/>
          <w:numId w:val="0"/>
        </w:numPr>
        <w:rPr>
          <w:rFonts w:hint="eastAsia"/>
          <w:sz w:val="24"/>
          <w:szCs w:val="24"/>
          <w:lang w:val="en-US" w:eastAsia="zh-CN"/>
        </w:rPr>
      </w:pPr>
      <w:r>
        <w:rPr>
          <w:rFonts w:hint="eastAsia"/>
          <w:sz w:val="24"/>
          <w:szCs w:val="24"/>
          <w:lang w:val="en-US" w:eastAsia="zh-CN"/>
        </w:rPr>
        <w:t>19.慢病督导培训。</w:t>
      </w:r>
    </w:p>
    <w:p>
      <w:pPr>
        <w:numPr>
          <w:ilvl w:val="0"/>
          <w:numId w:val="0"/>
        </w:numPr>
        <w:rPr>
          <w:rFonts w:hint="default"/>
          <w:b/>
          <w:bCs/>
          <w:sz w:val="24"/>
          <w:szCs w:val="24"/>
          <w:lang w:val="en-US" w:eastAsia="zh-CN"/>
        </w:rPr>
      </w:pPr>
      <w:r>
        <w:rPr>
          <w:rFonts w:hint="eastAsia"/>
          <w:b/>
          <w:bCs/>
          <w:sz w:val="24"/>
          <w:szCs w:val="24"/>
          <w:lang w:val="en-US" w:eastAsia="zh-CN"/>
        </w:rPr>
        <w:t>业务功能细则：</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 患者管理与动态档案</w:t>
      </w:r>
      <w:r>
        <w:rPr>
          <w:rFonts w:hint="eastAsia" w:asciiTheme="minorEastAsia" w:hAnsiTheme="minorEastAsia" w:eastAsiaTheme="minorEastAsia" w:cstheme="minorEastAsia"/>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多渠道建档：门诊/住院/体检/公卫自动抓取、批量导入、手工补录。</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全周期档案：基本信息、既往史、并发症、用药、检验检查、随访、转诊、宣教、自我监测。</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一人一档、一键调阅、跨机构共享、留痕可追溯。</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 慢病筛查与风险评估</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高危人群筛查：年龄、肥胖、吸烟、家族史、血压血糖异常自动识别。</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专病评估：高血压/糖尿病/心脑/慢阻肺/肾病分层评估（低/中/高/危重）。</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并发症预警：肾损害、眼底病变、心脑血管事件风险提示。</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 智能随访与干预</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按指南自动生成随访计划：随访时间、内容、指标、用药、宣教。</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多渠道提醒：系统待办、短信、微信、电话，患者与医护双提醒。</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随访闭环：记录、评估、转归、未随访催访、漏访统计。</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个性化方案：饮食、运动、用药、戒烟限酒、心理指导。</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 双向转诊与协同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上转：疑难/危重/并发症→县级医院；下转：稳定期→基层。</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转诊单自动生成、病历/检查/用药一键附带、进度实时查看。</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基层检查、县级诊断、结果互认、减少重复检查。</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 用药与诊疗辅助</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慢病处方同步、用药依从性提醒、漏服提示、药物禁忌预警。</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嵌入临床路径与指南知识库，辅助规范诊疗。</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重复用药、不合理用药自动提示。</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6. 远程监测与预警</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血压/血糖/心电/体重自动上传，异常即时预警。</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危急值推送：医生/公卫/家庭医生</w:t>
      </w:r>
      <w:r>
        <w:rPr>
          <w:rFonts w:hint="eastAsia" w:asciiTheme="minorEastAsia" w:hAnsiTheme="minorEastAsia" w:cstheme="minorEastAsia"/>
          <w:sz w:val="24"/>
          <w:szCs w:val="24"/>
          <w:lang w:eastAsia="zh-CN"/>
        </w:rPr>
        <w:t>系统</w:t>
      </w:r>
      <w:r>
        <w:rPr>
          <w:rFonts w:hint="eastAsia" w:asciiTheme="minorEastAsia" w:hAnsiTheme="minorEastAsia" w:eastAsiaTheme="minorEastAsia" w:cstheme="minorEastAsia"/>
          <w:sz w:val="24"/>
          <w:szCs w:val="24"/>
        </w:rPr>
        <w:t>，支持处置闭环。</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趋势图表：周/月/季波动，辅助调整方案。</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7. 健康宣教与自我管理</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宣教库：图文/视频/音频，按病种/人群精准推送。</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患者端：记录指标、查看报告、预约复诊、在线咨询、学习打卡。</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 宣教触达率、阅读率、知晓率统计。</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8. 质控与绩效考核</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核心指标：建档率、规范管理率、规范服药率、控制率、随访率、转诊及时率。</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自动质控：缺项、漏访、逻辑错误、重复档案提醒与整改。</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按机构/科室/个人生成考核报表，支撑绩效分配。</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9. 统计分析与决策驾驶舱</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区域概况：人群分布、病种构成、控制率、并发症发生率。</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趋势分析：年度/季度/月度对比、干预效果评估。</w:t>
      </w:r>
    </w:p>
    <w:p>
      <w:pPr>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大屏可视化：实时监控、指标看板、异常预警、工作排名</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10. 系统管理与配置</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组织架构、用户角色、权限细粒度管控（医生/公卫/护士/管理/质控）。</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病种模板、随访模板、评估量表、宣教内容可配置。</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日志审计、操作留痕、数据备份、恢复、导入导出。</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四、非功能需求</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 性能</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并发用户≥500，页面响应≤3秒，报表查询≤10秒。</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支持离线操作，联网后自动同步。</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 安全与隐私</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 符合网络安全等级保护2.0三级要求。</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身份认证、权限最小化、操作审计、通信加密、存储加密。</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患者隐私脱敏，导出水印，禁止外泄。</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日志留存≥6个月，重要日志≥1年。</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 兼容与适配</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兼容院内现有操作系统、浏览器、打印机、读卡器、电子健康卡。</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 支持基层低带宽环境稳定运行。</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 数据质量</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完整性、准确性、一致性、唯一性、时效性校验。</w:t>
      </w:r>
    </w:p>
    <w:p>
      <w:pPr>
        <w:rPr>
          <w:rFonts w:hint="eastAsia" w:asciiTheme="minorEastAsia" w:hAnsiTheme="minorEastAsia" w:eastAsiaTheme="minorEastAsia" w:cstheme="minorEastAsia"/>
          <w:b/>
          <w:bCs/>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自动去重、补全、纠错，提供质控工作台。</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五、实施与运维要求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1.对接实施：</w:t>
      </w:r>
      <w:r>
        <w:rPr>
          <w:rFonts w:hint="eastAsia" w:asciiTheme="minorEastAsia" w:hAnsiTheme="minorEastAsia" w:eastAsiaTheme="minorEastAsia" w:cstheme="minorEastAsia"/>
          <w:sz w:val="24"/>
          <w:szCs w:val="24"/>
        </w:rPr>
        <w:t>厂商配合完成接口开发、联调、测试、上线。</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2.数据迁移：历史慢病档案、公卫数据清洗、迁移、核对。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3.培训：管理员、医生、公卫、村医、患者端分层培训。</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4.运维保障：7×12小时响应，bug及时修复，版本迭代，文档齐全。</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5.验收交付：功能验收、性能验收、安全验收、文档交付、培训交付。</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六、交付物清单</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1.县域慢病管理信息化系统（PC+移动）</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2.标准接口包（HIS/EMR/LIS/PACS/公卫/体检/转诊/区域平台）</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3.部署方案、备份方案、安全方案、运维方案</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4.用户手册、管理员手册、操作视频、培训PPT</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5.数据字典、接口文档、测试报告、验收报告</w:t>
      </w:r>
      <w:r>
        <w:rPr>
          <w:rFonts w:hint="eastAsia" w:asciiTheme="minorEastAsia" w:hAnsiTheme="minorEastAsia" w:cstheme="minorEastAsia"/>
          <w:sz w:val="24"/>
          <w:szCs w:val="24"/>
          <w:lang w:eastAsia="zh-CN"/>
        </w:rPr>
        <w:t>。</w:t>
      </w:r>
    </w:p>
    <w:p>
      <w:pPr>
        <w:widowControl w:val="0"/>
        <w:numPr>
          <w:ilvl w:val="0"/>
          <w:numId w:val="0"/>
        </w:numPr>
        <w:tabs>
          <w:tab w:val="left" w:pos="312"/>
        </w:tabs>
        <w:jc w:val="both"/>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val="en-US" w:eastAsia="zh-CN"/>
        </w:rPr>
        <w:t>七</w:t>
      </w:r>
      <w:r>
        <w:rPr>
          <w:rFonts w:hint="eastAsia" w:asciiTheme="minorEastAsia" w:hAnsiTheme="minorEastAsia" w:cstheme="minorEastAsia"/>
          <w:b/>
          <w:bCs/>
          <w:sz w:val="28"/>
          <w:szCs w:val="28"/>
          <w:lang w:eastAsia="zh-CN"/>
        </w:rPr>
        <w:t>、慢病信息化系统功能总结</w:t>
      </w:r>
    </w:p>
    <w:p>
      <w:pPr>
        <w:widowControl w:val="0"/>
        <w:numPr>
          <w:ilvl w:val="0"/>
          <w:numId w:val="0"/>
        </w:numPr>
        <w:tabs>
          <w:tab w:val="left" w:pos="312"/>
        </w:tabs>
        <w:jc w:val="both"/>
        <w:rPr>
          <w:rFonts w:hint="default"/>
          <w:sz w:val="24"/>
          <w:szCs w:val="24"/>
          <w:lang w:val="en-US" w:eastAsia="zh-CN"/>
        </w:rPr>
      </w:pPr>
      <w:r>
        <w:rPr>
          <w:rFonts w:hint="eastAsia"/>
          <w:b/>
          <w:bCs/>
          <w:sz w:val="24"/>
          <w:szCs w:val="24"/>
          <w:lang w:val="en-US" w:eastAsia="zh-CN"/>
        </w:rPr>
        <w:t>1.核心：</w:t>
      </w:r>
      <w:r>
        <w:rPr>
          <w:rFonts w:hint="eastAsia"/>
          <w:sz w:val="24"/>
          <w:szCs w:val="24"/>
          <w:lang w:val="en-US" w:eastAsia="zh-CN"/>
        </w:rPr>
        <w:t>长期适配、数据打通、好用易扩、售后靠谱。</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2.定位：</w:t>
      </w:r>
    </w:p>
    <w:p>
      <w:pPr>
        <w:widowControl w:val="0"/>
        <w:numPr>
          <w:ilvl w:val="0"/>
          <w:numId w:val="0"/>
        </w:numPr>
        <w:jc w:val="both"/>
        <w:rPr>
          <w:rFonts w:hint="eastAsia"/>
          <w:sz w:val="24"/>
          <w:szCs w:val="24"/>
          <w:lang w:val="en-US" w:eastAsia="zh-CN"/>
        </w:rPr>
      </w:pPr>
      <w:r>
        <w:rPr>
          <w:rFonts w:hint="eastAsia"/>
          <w:sz w:val="24"/>
          <w:szCs w:val="24"/>
          <w:lang w:val="en-US" w:eastAsia="zh-CN"/>
        </w:rPr>
        <w:t>（1）基层：优先轻量化、易操作、批量随访、公卫上报。</w:t>
      </w:r>
    </w:p>
    <w:p>
      <w:pPr>
        <w:widowControl w:val="0"/>
        <w:numPr>
          <w:ilvl w:val="0"/>
          <w:numId w:val="0"/>
        </w:numPr>
        <w:jc w:val="both"/>
        <w:rPr>
          <w:rFonts w:hint="eastAsia"/>
          <w:sz w:val="24"/>
          <w:szCs w:val="24"/>
          <w:lang w:val="en-US" w:eastAsia="zh-CN"/>
        </w:rPr>
      </w:pPr>
      <w:r>
        <w:rPr>
          <w:rFonts w:hint="eastAsia"/>
          <w:sz w:val="24"/>
          <w:szCs w:val="24"/>
          <w:lang w:val="en-US" w:eastAsia="zh-CN"/>
        </w:rPr>
        <w:t>（2）区域医共体：优先全流程闭环、</w:t>
      </w:r>
      <w:r>
        <w:rPr>
          <w:rFonts w:hint="default"/>
          <w:sz w:val="24"/>
          <w:szCs w:val="24"/>
          <w:lang w:val="en-US" w:eastAsia="zh-CN"/>
        </w:rPr>
        <w:t>AI</w:t>
      </w:r>
      <w:r>
        <w:rPr>
          <w:rFonts w:hint="eastAsia"/>
          <w:sz w:val="24"/>
          <w:szCs w:val="24"/>
          <w:lang w:val="en-US" w:eastAsia="zh-CN"/>
        </w:rPr>
        <w:t>辅助、多学科协同、科研数据、区域联动、跨机构数据互通、双向转诊、统一质控。</w:t>
      </w:r>
    </w:p>
    <w:p>
      <w:pPr>
        <w:widowControl w:val="0"/>
        <w:numPr>
          <w:ilvl w:val="0"/>
          <w:numId w:val="0"/>
        </w:numPr>
        <w:jc w:val="both"/>
        <w:rPr>
          <w:rFonts w:hint="default"/>
          <w:b/>
          <w:bCs/>
          <w:sz w:val="24"/>
          <w:szCs w:val="24"/>
          <w:lang w:val="en-US" w:eastAsia="zh-CN"/>
        </w:rPr>
      </w:pPr>
      <w:r>
        <w:rPr>
          <w:rFonts w:hint="eastAsia"/>
          <w:b/>
          <w:bCs/>
          <w:sz w:val="24"/>
          <w:szCs w:val="24"/>
          <w:lang w:val="en-US" w:eastAsia="zh-CN"/>
        </w:rPr>
        <w:t>3.核心标准：</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（1.）数据打通与兼容性：</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1</w:t>
      </w:r>
      <w:r>
        <w:rPr>
          <w:rFonts w:hint="eastAsia"/>
          <w:sz w:val="24"/>
          <w:szCs w:val="24"/>
          <w:lang w:val="en-US" w:eastAsia="zh-CN"/>
        </w:rPr>
        <w:t>）必须无缝对接现在系统：</w:t>
      </w:r>
      <w:r>
        <w:rPr>
          <w:rFonts w:hint="default"/>
          <w:sz w:val="24"/>
          <w:szCs w:val="24"/>
          <w:lang w:val="en-US" w:eastAsia="zh-CN"/>
        </w:rPr>
        <w:t>HIS</w:t>
      </w:r>
      <w:r>
        <w:rPr>
          <w:rFonts w:hint="eastAsia"/>
          <w:sz w:val="24"/>
          <w:szCs w:val="24"/>
          <w:lang w:val="en-US" w:eastAsia="zh-CN"/>
        </w:rPr>
        <w:t>、</w:t>
      </w:r>
      <w:r>
        <w:rPr>
          <w:rFonts w:hint="default"/>
          <w:sz w:val="24"/>
          <w:szCs w:val="24"/>
          <w:lang w:val="en-US" w:eastAsia="zh-CN"/>
        </w:rPr>
        <w:t>LIS</w:t>
      </w:r>
      <w:r>
        <w:rPr>
          <w:rFonts w:hint="eastAsia"/>
          <w:sz w:val="24"/>
          <w:szCs w:val="24"/>
          <w:lang w:val="en-US" w:eastAsia="zh-CN"/>
        </w:rPr>
        <w:t>、</w:t>
      </w:r>
      <w:r>
        <w:rPr>
          <w:rFonts w:hint="default"/>
          <w:sz w:val="24"/>
          <w:szCs w:val="24"/>
          <w:lang w:val="en-US" w:eastAsia="zh-CN"/>
        </w:rPr>
        <w:t>PACS</w:t>
      </w:r>
      <w:r>
        <w:rPr>
          <w:rFonts w:hint="eastAsia"/>
          <w:sz w:val="24"/>
          <w:szCs w:val="24"/>
          <w:lang w:val="en-US" w:eastAsia="zh-CN"/>
        </w:rPr>
        <w:t>、</w:t>
      </w:r>
      <w:r>
        <w:rPr>
          <w:rFonts w:hint="default"/>
          <w:sz w:val="24"/>
          <w:szCs w:val="24"/>
          <w:lang w:val="en-US" w:eastAsia="zh-CN"/>
        </w:rPr>
        <w:t>EMR</w:t>
      </w:r>
      <w:r>
        <w:rPr>
          <w:rFonts w:hint="eastAsia"/>
          <w:sz w:val="24"/>
          <w:szCs w:val="24"/>
          <w:lang w:val="en-US" w:eastAsia="zh-CN"/>
        </w:rPr>
        <w:t>、体检、公卫平台、家庭医生、医保。</w:t>
      </w:r>
    </w:p>
    <w:p>
      <w:pPr>
        <w:widowControl w:val="0"/>
        <w:numPr>
          <w:ilvl w:val="0"/>
          <w:numId w:val="0"/>
        </w:numPr>
        <w:ind w:firstLine="240" w:firstLineChars="100"/>
        <w:jc w:val="both"/>
        <w:rPr>
          <w:rFonts w:hint="default"/>
          <w:sz w:val="24"/>
          <w:szCs w:val="24"/>
          <w:lang w:val="en-US" w:eastAsia="zh-CN"/>
        </w:rPr>
      </w:pPr>
      <w:r>
        <w:rPr>
          <w:rFonts w:hint="default"/>
          <w:sz w:val="24"/>
          <w:szCs w:val="24"/>
          <w:lang w:val="en-US" w:eastAsia="zh-CN"/>
        </w:rPr>
        <w:t>2</w:t>
      </w:r>
      <w:r>
        <w:rPr>
          <w:rFonts w:hint="eastAsia"/>
          <w:sz w:val="24"/>
          <w:szCs w:val="24"/>
          <w:lang w:val="en-US" w:eastAsia="zh-CN"/>
        </w:rPr>
        <w:t>）支持智能设备直连（血压/血糖</w:t>
      </w:r>
      <w:r>
        <w:rPr>
          <w:rFonts w:hint="default"/>
          <w:sz w:val="24"/>
          <w:szCs w:val="24"/>
          <w:lang w:val="en-US" w:eastAsia="zh-CN"/>
        </w:rPr>
        <w:t>/</w:t>
      </w:r>
      <w:r>
        <w:rPr>
          <w:rFonts w:hint="eastAsia"/>
          <w:sz w:val="24"/>
          <w:szCs w:val="24"/>
          <w:lang w:val="en-US" w:eastAsia="zh-CN"/>
        </w:rPr>
        <w:t>心电</w:t>
      </w:r>
      <w:r>
        <w:rPr>
          <w:rFonts w:hint="default"/>
          <w:sz w:val="24"/>
          <w:szCs w:val="24"/>
          <w:lang w:val="en-US" w:eastAsia="zh-CN"/>
        </w:rPr>
        <w:t>/</w:t>
      </w:r>
      <w:r>
        <w:rPr>
          <w:rFonts w:hint="eastAsia"/>
          <w:sz w:val="24"/>
          <w:szCs w:val="24"/>
          <w:lang w:val="en-US" w:eastAsia="zh-CN"/>
        </w:rPr>
        <w:t>穿戴）、数据自动同步、不重复录入。</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3</w:t>
      </w:r>
      <w:r>
        <w:rPr>
          <w:rFonts w:hint="eastAsia"/>
          <w:sz w:val="24"/>
          <w:szCs w:val="24"/>
          <w:lang w:val="en-US" w:eastAsia="zh-CN"/>
        </w:rPr>
        <w:t>）接口开放可扩展，支持未来新系统、新设备接入。</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（2）功能全流程闭环（覆盖全周期）</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1</w:t>
      </w:r>
      <w:r>
        <w:rPr>
          <w:rFonts w:hint="eastAsia"/>
          <w:sz w:val="24"/>
          <w:szCs w:val="24"/>
          <w:lang w:val="en-US" w:eastAsia="zh-CN"/>
        </w:rPr>
        <w:t>）患者端：建档、自测上传、用药</w:t>
      </w:r>
      <w:r>
        <w:rPr>
          <w:rFonts w:hint="default"/>
          <w:sz w:val="24"/>
          <w:szCs w:val="24"/>
          <w:lang w:val="en-US" w:eastAsia="zh-CN"/>
        </w:rPr>
        <w:t>/</w:t>
      </w:r>
      <w:r>
        <w:rPr>
          <w:rFonts w:hint="eastAsia"/>
          <w:sz w:val="24"/>
          <w:szCs w:val="24"/>
          <w:lang w:val="en-US" w:eastAsia="zh-CN"/>
        </w:rPr>
        <w:t>复诊提醒、在线咨询、科普推送。</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2</w:t>
      </w:r>
      <w:r>
        <w:rPr>
          <w:rFonts w:hint="eastAsia"/>
          <w:sz w:val="24"/>
          <w:szCs w:val="24"/>
          <w:lang w:val="en-US" w:eastAsia="zh-CN"/>
        </w:rPr>
        <w:t>）医护端：风险分层、智能随访计划、批量通知、干预方案、随访记录、质控报表。</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3</w:t>
      </w:r>
      <w:r>
        <w:rPr>
          <w:rFonts w:hint="eastAsia"/>
          <w:sz w:val="24"/>
          <w:szCs w:val="24"/>
          <w:lang w:val="en-US" w:eastAsia="zh-CN"/>
        </w:rPr>
        <w:t>）管理端：实时数据看板、指标统计（随访率/控制率）、综合统计（依据慢病数据中心，自动生成准确的数据分析及报表，把控关键风险点，实施区域性慢病监管和体系运营，为慢病管理提供数据）、绩效考核、科研分析。</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4</w:t>
      </w:r>
      <w:r>
        <w:rPr>
          <w:rFonts w:hint="eastAsia"/>
          <w:sz w:val="24"/>
          <w:szCs w:val="24"/>
          <w:lang w:val="en-US" w:eastAsia="zh-CN"/>
        </w:rPr>
        <w:t>）协同端：双向转诊、社区联动、公卫数据上报、多科室协作。</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（3）易用性与效率：</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1</w:t>
      </w:r>
      <w:r>
        <w:rPr>
          <w:rFonts w:hint="eastAsia"/>
          <w:sz w:val="24"/>
          <w:szCs w:val="24"/>
          <w:lang w:val="en-US" w:eastAsia="zh-CN"/>
        </w:rPr>
        <w:t>）界面简洁、操作少点击，老人/基层人员易上手。</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2</w:t>
      </w:r>
      <w:r>
        <w:rPr>
          <w:rFonts w:hint="eastAsia"/>
          <w:sz w:val="24"/>
          <w:szCs w:val="24"/>
          <w:lang w:val="en-US" w:eastAsia="zh-CN"/>
        </w:rPr>
        <w:t>）支持批量操作、自动提醒、模板复用，减少重复劳动。</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3</w:t>
      </w:r>
      <w:r>
        <w:rPr>
          <w:rFonts w:hint="eastAsia"/>
          <w:sz w:val="24"/>
          <w:szCs w:val="24"/>
          <w:lang w:val="en-US" w:eastAsia="zh-CN"/>
        </w:rPr>
        <w:t>）移动端适配（</w:t>
      </w:r>
      <w:r>
        <w:rPr>
          <w:rFonts w:hint="default"/>
          <w:sz w:val="24"/>
          <w:szCs w:val="24"/>
          <w:lang w:val="en-US" w:eastAsia="zh-CN"/>
        </w:rPr>
        <w:t>APP/</w:t>
      </w:r>
      <w:r>
        <w:rPr>
          <w:rFonts w:hint="eastAsia"/>
          <w:sz w:val="24"/>
          <w:szCs w:val="24"/>
          <w:lang w:val="en-US" w:eastAsia="zh-CN"/>
        </w:rPr>
        <w:t>小程序），随时随地处理。</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（4）智能与扩展性：</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1</w:t>
      </w:r>
      <w:r>
        <w:rPr>
          <w:rFonts w:hint="eastAsia"/>
          <w:sz w:val="24"/>
          <w:szCs w:val="24"/>
          <w:lang w:val="en-US" w:eastAsia="zh-CN"/>
        </w:rPr>
        <w:t>）</w:t>
      </w:r>
      <w:r>
        <w:rPr>
          <w:rFonts w:hint="default"/>
          <w:sz w:val="24"/>
          <w:szCs w:val="24"/>
          <w:lang w:val="en-US" w:eastAsia="zh-CN"/>
        </w:rPr>
        <w:t>AI</w:t>
      </w:r>
      <w:r>
        <w:rPr>
          <w:rFonts w:hint="eastAsia"/>
          <w:sz w:val="24"/>
          <w:szCs w:val="24"/>
          <w:lang w:val="en-US" w:eastAsia="zh-CN"/>
        </w:rPr>
        <w:t>：风险预警、并发症预测、个性化干预、用药提醒。</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2</w:t>
      </w:r>
      <w:r>
        <w:rPr>
          <w:rFonts w:hint="eastAsia"/>
          <w:sz w:val="24"/>
          <w:szCs w:val="24"/>
          <w:lang w:val="en-US" w:eastAsia="zh-CN"/>
        </w:rPr>
        <w:t>）支持多病种管理（六大慢病）、</w:t>
      </w:r>
      <w:r>
        <w:rPr>
          <w:rFonts w:hint="eastAsia"/>
          <w:b w:val="0"/>
          <w:bCs w:val="0"/>
          <w:sz w:val="24"/>
          <w:szCs w:val="24"/>
          <w:lang w:val="en-US" w:eastAsia="zh-CN"/>
        </w:rPr>
        <w:t>共病管理。</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3</w:t>
      </w:r>
      <w:r>
        <w:rPr>
          <w:rFonts w:hint="eastAsia"/>
          <w:sz w:val="24"/>
          <w:szCs w:val="24"/>
          <w:lang w:val="en-US" w:eastAsia="zh-CN"/>
        </w:rPr>
        <w:t>）支持自定义流程、自定义报表、自定义随访、适配医院变化。</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（5）合规与安全：</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1</w:t>
      </w:r>
      <w:r>
        <w:rPr>
          <w:rFonts w:hint="eastAsia"/>
          <w:sz w:val="24"/>
          <w:szCs w:val="24"/>
          <w:lang w:val="en-US" w:eastAsia="zh-CN"/>
        </w:rPr>
        <w:t>）符合等保</w:t>
      </w:r>
      <w:r>
        <w:rPr>
          <w:rFonts w:hint="default"/>
          <w:sz w:val="24"/>
          <w:szCs w:val="24"/>
          <w:lang w:val="en-US" w:eastAsia="zh-CN"/>
        </w:rPr>
        <w:t>2.0</w:t>
      </w:r>
      <w:r>
        <w:rPr>
          <w:rFonts w:hint="eastAsia"/>
          <w:sz w:val="24"/>
          <w:szCs w:val="24"/>
          <w:lang w:val="en-US" w:eastAsia="zh-CN"/>
        </w:rPr>
        <w:t>、</w:t>
      </w:r>
      <w:r>
        <w:rPr>
          <w:rFonts w:hint="default"/>
          <w:sz w:val="24"/>
          <w:szCs w:val="24"/>
          <w:lang w:val="en-US" w:eastAsia="zh-CN"/>
        </w:rPr>
        <w:t>HIPAA</w:t>
      </w:r>
      <w:r>
        <w:rPr>
          <w:rFonts w:hint="eastAsia"/>
          <w:sz w:val="24"/>
          <w:szCs w:val="24"/>
          <w:lang w:val="en-US" w:eastAsia="zh-CN"/>
        </w:rPr>
        <w:t>、医疗数据安全规范。</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2</w:t>
      </w:r>
      <w:r>
        <w:rPr>
          <w:rFonts w:hint="eastAsia"/>
          <w:sz w:val="24"/>
          <w:szCs w:val="24"/>
          <w:lang w:val="en-US" w:eastAsia="zh-CN"/>
        </w:rPr>
        <w:t>）患者数据加密存储、权限分级、操作留痕、可追溯。</w:t>
      </w:r>
    </w:p>
    <w:p>
      <w:pPr>
        <w:widowControl w:val="0"/>
        <w:numPr>
          <w:ilvl w:val="0"/>
          <w:numId w:val="0"/>
        </w:numPr>
        <w:ind w:firstLine="240" w:firstLineChars="100"/>
        <w:jc w:val="both"/>
        <w:rPr>
          <w:rFonts w:hint="eastAsia"/>
          <w:sz w:val="24"/>
          <w:szCs w:val="24"/>
          <w:lang w:val="en-US" w:eastAsia="zh-CN"/>
        </w:rPr>
      </w:pPr>
      <w:r>
        <w:rPr>
          <w:rFonts w:hint="default"/>
          <w:sz w:val="24"/>
          <w:szCs w:val="24"/>
          <w:lang w:val="en-US" w:eastAsia="zh-CN"/>
        </w:rPr>
        <w:t>3</w:t>
      </w:r>
      <w:r>
        <w:rPr>
          <w:rFonts w:hint="eastAsia"/>
          <w:sz w:val="24"/>
          <w:szCs w:val="24"/>
          <w:lang w:val="en-US" w:eastAsia="zh-CN"/>
        </w:rPr>
        <w:t>）支持公卫数据标准上报（国家</w:t>
      </w:r>
      <w:r>
        <w:rPr>
          <w:rFonts w:hint="default"/>
          <w:sz w:val="24"/>
          <w:szCs w:val="24"/>
          <w:lang w:val="en-US" w:eastAsia="zh-CN"/>
        </w:rPr>
        <w:t>/</w:t>
      </w:r>
      <w:r>
        <w:rPr>
          <w:rFonts w:hint="eastAsia"/>
          <w:sz w:val="24"/>
          <w:szCs w:val="24"/>
          <w:lang w:val="en-US" w:eastAsia="zh-CN"/>
        </w:rPr>
        <w:t>省疾控要求）。</w:t>
      </w:r>
    </w:p>
    <w:p>
      <w:pPr>
        <w:widowControl w:val="0"/>
        <w:numPr>
          <w:ilvl w:val="0"/>
          <w:numId w:val="0"/>
        </w:numPr>
        <w:jc w:val="both"/>
        <w:rPr>
          <w:rFonts w:hint="default"/>
          <w:b w:val="0"/>
          <w:bCs w:val="0"/>
          <w:sz w:val="24"/>
          <w:szCs w:val="24"/>
          <w:lang w:val="en-US" w:eastAsia="zh-CN"/>
        </w:rPr>
      </w:pPr>
      <w:r>
        <w:rPr>
          <w:rFonts w:hint="eastAsia"/>
          <w:b/>
          <w:bCs/>
          <w:sz w:val="24"/>
          <w:szCs w:val="24"/>
          <w:lang w:val="en-US" w:eastAsia="zh-CN"/>
        </w:rPr>
        <w:t>（6）厂商实力与售后</w:t>
      </w:r>
      <w:r>
        <w:rPr>
          <w:rFonts w:hint="eastAsia"/>
          <w:sz w:val="24"/>
          <w:szCs w:val="24"/>
          <w:lang w:val="en-US" w:eastAsia="zh-CN"/>
        </w:rPr>
        <w:t>：</w:t>
      </w:r>
      <w:r>
        <w:rPr>
          <w:rFonts w:hint="eastAsia"/>
          <w:b w:val="0"/>
          <w:bCs w:val="0"/>
          <w:sz w:val="24"/>
          <w:szCs w:val="24"/>
          <w:lang w:val="en-US" w:eastAsia="zh-CN"/>
        </w:rPr>
        <w:t>提供实施</w:t>
      </w:r>
      <w:r>
        <w:rPr>
          <w:rFonts w:hint="default"/>
          <w:b w:val="0"/>
          <w:bCs w:val="0"/>
          <w:sz w:val="24"/>
          <w:szCs w:val="24"/>
          <w:lang w:val="en-US" w:eastAsia="zh-CN"/>
        </w:rPr>
        <w:t>+</w:t>
      </w:r>
      <w:r>
        <w:rPr>
          <w:rFonts w:hint="eastAsia"/>
          <w:b w:val="0"/>
          <w:bCs w:val="0"/>
          <w:sz w:val="24"/>
          <w:szCs w:val="24"/>
          <w:lang w:val="en-US" w:eastAsia="zh-CN"/>
        </w:rPr>
        <w:t>培训</w:t>
      </w:r>
      <w:r>
        <w:rPr>
          <w:rFonts w:hint="default"/>
          <w:b w:val="0"/>
          <w:bCs w:val="0"/>
          <w:sz w:val="24"/>
          <w:szCs w:val="24"/>
          <w:lang w:val="en-US" w:eastAsia="zh-CN"/>
        </w:rPr>
        <w:t>+</w:t>
      </w:r>
      <w:r>
        <w:rPr>
          <w:rFonts w:hint="eastAsia"/>
          <w:b w:val="0"/>
          <w:bCs w:val="0"/>
          <w:sz w:val="24"/>
          <w:szCs w:val="24"/>
          <w:lang w:val="en-US" w:eastAsia="zh-CN"/>
        </w:rPr>
        <w:t>运维</w:t>
      </w:r>
      <w:r>
        <w:rPr>
          <w:rFonts w:hint="default"/>
          <w:b w:val="0"/>
          <w:bCs w:val="0"/>
          <w:sz w:val="24"/>
          <w:szCs w:val="24"/>
          <w:lang w:val="en-US" w:eastAsia="zh-CN"/>
        </w:rPr>
        <w:t>+</w:t>
      </w:r>
      <w:r>
        <w:rPr>
          <w:rFonts w:hint="eastAsia"/>
          <w:b w:val="0"/>
          <w:bCs w:val="0"/>
          <w:sz w:val="24"/>
          <w:szCs w:val="24"/>
          <w:lang w:val="en-US" w:eastAsia="zh-CN"/>
        </w:rPr>
        <w:t>升级全周期服务，响应及时。</w:t>
      </w:r>
    </w:p>
    <w:p>
      <w:pPr>
        <w:rPr>
          <w:rFonts w:hint="eastAsia"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BD9DB6"/>
    <w:multiLevelType w:val="singleLevel"/>
    <w:tmpl w:val="61BD9DB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35717"/>
    <w:rsid w:val="01576D13"/>
    <w:rsid w:val="055A679B"/>
    <w:rsid w:val="07EF7D43"/>
    <w:rsid w:val="0BC92534"/>
    <w:rsid w:val="0C115B22"/>
    <w:rsid w:val="0DDD138C"/>
    <w:rsid w:val="0F8A6D89"/>
    <w:rsid w:val="103A350F"/>
    <w:rsid w:val="16C05C03"/>
    <w:rsid w:val="1C704DB4"/>
    <w:rsid w:val="1C964CE5"/>
    <w:rsid w:val="1DF6416F"/>
    <w:rsid w:val="1FA11A42"/>
    <w:rsid w:val="201863A5"/>
    <w:rsid w:val="21F41C3D"/>
    <w:rsid w:val="2C9472B5"/>
    <w:rsid w:val="30827A6B"/>
    <w:rsid w:val="30C8267F"/>
    <w:rsid w:val="311B6A7F"/>
    <w:rsid w:val="36171FC6"/>
    <w:rsid w:val="36535B3F"/>
    <w:rsid w:val="3D2C0508"/>
    <w:rsid w:val="3E345F44"/>
    <w:rsid w:val="43FD742D"/>
    <w:rsid w:val="43FE554B"/>
    <w:rsid w:val="477A6FB4"/>
    <w:rsid w:val="4A007F00"/>
    <w:rsid w:val="4BE4384A"/>
    <w:rsid w:val="4FCA4775"/>
    <w:rsid w:val="54C82A3C"/>
    <w:rsid w:val="5B235542"/>
    <w:rsid w:val="5C0A58F5"/>
    <w:rsid w:val="5F052516"/>
    <w:rsid w:val="5F512BB4"/>
    <w:rsid w:val="63D366BB"/>
    <w:rsid w:val="64177378"/>
    <w:rsid w:val="67F00636"/>
    <w:rsid w:val="6A753AAC"/>
    <w:rsid w:val="731C3201"/>
    <w:rsid w:val="74033F3E"/>
    <w:rsid w:val="74CA0517"/>
    <w:rsid w:val="78EC32A9"/>
    <w:rsid w:val="7B32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2026-03-05T01:04:00Z</dcterms:created>
  <dc:creator>BLYY</dc:creator>
  <cp:lastModifiedBy>谢姜娈</cp:lastModifiedBy>
  <dcterms:modified xsi:type="dcterms:W3CDTF">2026-03-16T09:06:06Z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C3A21AA74E6D47E1A90AF5C08DF8D9C5</vt:lpwstr>
  </property>
</Properties>
</file>