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2D98F46">
      <w:pPr>
        <w:jc w:val="center"/>
        <w:rPr>
          <w:rFonts w:hint="eastAsia" w:ascii="宋体" w:hAnsi="宋体"/>
          <w:bCs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申购仪器设备的技术参数及配置要求</w:t>
      </w:r>
    </w:p>
    <w:tbl>
      <w:tblPr>
        <w:tblStyle w:val="3"/>
        <w:tblW w:w="918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7020"/>
      </w:tblGrid>
      <w:tr w14:paraId="770D63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CF61506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项目名称</w:t>
            </w:r>
          </w:p>
        </w:tc>
        <w:tc>
          <w:tcPr>
            <w:tcW w:w="7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067FCF8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项参数说明</w:t>
            </w:r>
          </w:p>
        </w:tc>
      </w:tr>
      <w:tr w14:paraId="098C53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31309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申购设备名称</w:t>
            </w:r>
          </w:p>
        </w:tc>
        <w:tc>
          <w:tcPr>
            <w:tcW w:w="7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82D266">
            <w:pPr>
              <w:jc w:val="center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color w:val="auto"/>
                <w:sz w:val="24"/>
                <w:lang w:val="en-US" w:eastAsia="zh-CN"/>
              </w:rPr>
              <w:t>电子上消化道内窥镜</w:t>
            </w:r>
          </w:p>
        </w:tc>
      </w:tr>
      <w:tr w14:paraId="625A65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0" w:hRule="atLeast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37C196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用途及适用人群</w:t>
            </w:r>
          </w:p>
        </w:tc>
        <w:tc>
          <w:tcPr>
            <w:tcW w:w="7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 w14:paraId="4BFECD01">
            <w:pP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用途：</w:t>
            </w:r>
          </w:p>
          <w:p w14:paraId="1312F1C1">
            <w:pP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1.疾病诊断：清晰显示黏膜细微病变，如炎症、糜烂、溃疡、息肉、肿瘤等，可通过活检获取组织样本明确病理类型（如区分良性 / 恶性病变）。</w:t>
            </w:r>
          </w:p>
          <w:p w14:paraId="7EE338D1">
            <w:pP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2.微创治疗：发现病变后直接开展镜下操作，如息肉切除、止血、黏膜剥离（治疗早期肿瘤）、异物取出、狭窄扩张等，避免开腹手术。</w:t>
            </w:r>
          </w:p>
          <w:p w14:paraId="35401F1B">
            <w:pP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3.健康筛查：作为消化道肿瘤（食管癌、胃癌、结直肠癌）早筛的 “金标准”，能发现无症状早期病变，实现早诊早治。</w:t>
            </w:r>
          </w:p>
          <w:p w14:paraId="57196069">
            <w:pP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</w:p>
          <w:p w14:paraId="31F14803">
            <w:pP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适用人群：</w:t>
            </w:r>
          </w:p>
          <w:p w14:paraId="3D010853">
            <w:pP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ascii="Segoe UI" w:hAnsi="Segoe UI" w:eastAsia="Segoe UI" w:cs="Segoe UI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有</w:t>
            </w:r>
            <w:r>
              <w:rPr>
                <w:rFonts w:hint="eastAsia" w:ascii="Segoe UI" w:hAnsi="Segoe UI" w:cs="Segoe UI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  <w:t>上</w:t>
            </w:r>
            <w:r>
              <w:rPr>
                <w:rFonts w:ascii="Segoe UI" w:hAnsi="Segoe UI" w:eastAsia="Segoe UI" w:cs="Segoe UI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消化道症状、高危因素及健康筛查需求</w:t>
            </w:r>
            <w:r>
              <w:rPr>
                <w:rFonts w:hint="eastAsia" w:ascii="Segoe UI" w:hAnsi="Segoe UI" w:eastAsia="宋体" w:cs="Segoe UI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eastAsia="zh-CN"/>
              </w:rPr>
              <w:t>、</w:t>
            </w:r>
            <w:r>
              <w:rPr>
                <w:rFonts w:hint="eastAsia" w:ascii="Segoe UI" w:hAnsi="Segoe UI" w:eastAsia="宋体" w:cs="Segoe UI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  <w:t>以及</w:t>
            </w:r>
            <w:r>
              <w:rPr>
                <w:rFonts w:hint="eastAsia" w:ascii="Segoe UI" w:hAnsi="Segoe UI" w:cs="Segoe UI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  <w:t>发现</w:t>
            </w:r>
            <w:r>
              <w:rPr>
                <w:rFonts w:hint="eastAsia" w:ascii="Segoe UI" w:hAnsi="Segoe UI" w:eastAsia="宋体" w:cs="Segoe UI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  <w:t>消化道病变需要镜下治疗的</w:t>
            </w:r>
            <w:r>
              <w:rPr>
                <w:rFonts w:ascii="Segoe UI" w:hAnsi="Segoe UI" w:eastAsia="Segoe UI" w:cs="Segoe UI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群体。</w:t>
            </w:r>
          </w:p>
        </w:tc>
      </w:tr>
      <w:tr w14:paraId="3B7D08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0" w:hRule="atLeast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5B693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设备的功能要求</w:t>
            </w:r>
          </w:p>
        </w:tc>
        <w:tc>
          <w:tcPr>
            <w:tcW w:w="7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top"/>
          </w:tcPr>
          <w:p w14:paraId="3BF74973">
            <w:pPr>
              <w:widowControl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  <w:t>1.具备高清画质，还原最真实的图像色彩。</w:t>
            </w:r>
          </w:p>
          <w:p w14:paraId="3B2BF802">
            <w:pPr>
              <w:pStyle w:val="6"/>
              <w:jc w:val="both"/>
              <w:rPr>
                <w:rFonts w:hint="eastAsia" w:asciiTheme="minorEastAsia" w:hAnsiTheme="minorEastAsia" w:eastAsiaTheme="minorEastAsia" w:cstheme="minorEastAsia"/>
                <w:bCs/>
                <w:spacing w:val="1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Cs w:val="24"/>
              </w:rPr>
              <w:t>2.具备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</w:rPr>
              <w:t>联动成像技术增强颜色对比度，更容易发现细微的颜色差别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lang w:eastAsia="zh-CN"/>
              </w:rPr>
              <w:t>，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</w:rPr>
              <w:t>及蓝光技术用于病变放大精查，有助于医生对不同部位的病变进行分型， 进行精确诊断。</w:t>
            </w:r>
          </w:p>
        </w:tc>
      </w:tr>
      <w:tr w14:paraId="131632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2" w:hRule="atLeast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0B8C3A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功能的技术指标及其他技术参数</w:t>
            </w:r>
          </w:p>
        </w:tc>
        <w:tc>
          <w:tcPr>
            <w:tcW w:w="7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781810F">
            <w:pPr>
              <w:rPr>
                <w:rFonts w:ascii="宋体" w:hAnsi="宋体"/>
                <w:sz w:val="24"/>
                <w:szCs w:val="24"/>
              </w:rPr>
            </w:pPr>
          </w:p>
        </w:tc>
      </w:tr>
      <w:tr w14:paraId="0252A0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6895FA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软、硬件的</w:t>
            </w:r>
          </w:p>
          <w:p w14:paraId="6C8BB5C3">
            <w:pPr>
              <w:ind w:firstLine="360" w:firstLineChars="15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配置要求</w:t>
            </w:r>
          </w:p>
        </w:tc>
        <w:tc>
          <w:tcPr>
            <w:tcW w:w="7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B46C67D">
            <w:pPr>
              <w:rPr>
                <w:rFonts w:hint="eastAsia"/>
                <w:sz w:val="24"/>
              </w:rPr>
            </w:pPr>
          </w:p>
          <w:p w14:paraId="2DF31EDF">
            <w:pPr>
              <w:rPr>
                <w:rFonts w:hint="eastAsia"/>
                <w:sz w:val="24"/>
              </w:rPr>
            </w:pPr>
          </w:p>
          <w:p w14:paraId="70F75AD2">
            <w:pPr>
              <w:rPr>
                <w:rFonts w:hint="default"/>
                <w:sz w:val="24"/>
                <w:lang w:val="en-US"/>
              </w:rPr>
            </w:pPr>
            <w:r>
              <w:rPr>
                <w:rFonts w:hint="eastAsia"/>
                <w:color w:val="auto"/>
                <w:sz w:val="24"/>
                <w:lang w:val="en-US" w:eastAsia="zh-CN"/>
              </w:rPr>
              <w:t>1.电子上消化道内窥镜（检查型） 2条</w:t>
            </w:r>
            <w:bookmarkStart w:id="6" w:name="_GoBack"/>
            <w:bookmarkEnd w:id="6"/>
          </w:p>
          <w:p w14:paraId="766C7470">
            <w:pPr>
              <w:rPr>
                <w:rFonts w:hint="eastAsia"/>
                <w:sz w:val="24"/>
              </w:rPr>
            </w:pPr>
          </w:p>
        </w:tc>
      </w:tr>
      <w:tr w14:paraId="0E3138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4" w:hRule="atLeast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4B17B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其它要求</w:t>
            </w:r>
          </w:p>
        </w:tc>
        <w:tc>
          <w:tcPr>
            <w:tcW w:w="7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E94B5E7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120" w:lineRule="auto"/>
              <w:ind w:left="0" w:right="0"/>
              <w:jc w:val="left"/>
              <w:textAlignment w:val="auto"/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1.设备使用期</w:t>
            </w:r>
            <w:r>
              <w:rPr>
                <w:rFonts w:hint="default" w:ascii="Arial" w:hAnsi="Arial" w:cs="Arial"/>
                <w:color w:val="auto"/>
                <w:sz w:val="24"/>
                <w:szCs w:val="24"/>
                <w:lang w:val="en-US" w:eastAsia="zh-CN"/>
              </w:rPr>
              <w:t>≥</w:t>
            </w:r>
            <w:r>
              <w:rPr>
                <w:rFonts w:hint="eastAsia" w:ascii="Arial" w:hAnsi="Arial" w:cs="Arial"/>
                <w:color w:val="auto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年，设备的生产日期和合同签订的时间间隔不大于6个月。</w:t>
            </w:r>
          </w:p>
          <w:p w14:paraId="19B6EFC0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120" w:lineRule="auto"/>
              <w:ind w:left="0" w:right="0"/>
              <w:jc w:val="left"/>
              <w:textAlignment w:val="auto"/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2.</w:t>
            </w:r>
            <w:bookmarkStart w:id="0" w:name="OLE_LINK5"/>
            <w:bookmarkStart w:id="1" w:name="OLE_LINK4"/>
            <w:bookmarkStart w:id="2" w:name="OLE_LINK3"/>
            <w:bookmarkStart w:id="3" w:name="OLE_LINK2"/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整机免费质保</w:t>
            </w:r>
            <w:r>
              <w:rPr>
                <w:rFonts w:hint="default" w:ascii="Arial" w:hAnsi="Arial" w:cs="Arial"/>
                <w:color w:val="auto"/>
                <w:sz w:val="24"/>
                <w:szCs w:val="24"/>
                <w:lang w:val="en-US" w:eastAsia="zh-CN"/>
              </w:rPr>
              <w:t>≥</w:t>
            </w:r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3年；设备设计使用的耗材必须为开放的耗材，并提供阳光网能点配价格，验收时提供三个以上厂家的耗材使用进行验收。</w:t>
            </w:r>
          </w:p>
          <w:p w14:paraId="6F596A1F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120" w:lineRule="auto"/>
              <w:ind w:left="0" w:right="0"/>
              <w:jc w:val="left"/>
              <w:textAlignment w:val="auto"/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3.验收同时提供纸质版和电子版产品说明书。</w:t>
            </w:r>
            <w:bookmarkEnd w:id="0"/>
            <w:bookmarkEnd w:id="1"/>
            <w:bookmarkEnd w:id="2"/>
            <w:bookmarkEnd w:id="3"/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供货时应同时附上中文使用说明书（包括纸质版和电子版）。</w:t>
            </w:r>
          </w:p>
          <w:p w14:paraId="728AED37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120" w:lineRule="auto"/>
              <w:ind w:left="0" w:right="0"/>
              <w:jc w:val="left"/>
              <w:textAlignment w:val="auto"/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4.</w:t>
            </w:r>
            <w:bookmarkStart w:id="4" w:name="OLE_LINK7"/>
            <w:bookmarkStart w:id="5" w:name="OLE_LINK6"/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为确保设备的售后服务质量，乙方必须提供其厂家免费质保三年的售后服务承诺书，包括设备厂家提供产品的终身免费升级服务。</w:t>
            </w:r>
            <w:bookmarkEnd w:id="4"/>
            <w:bookmarkEnd w:id="5"/>
          </w:p>
          <w:p w14:paraId="1D28CA2F">
            <w:pPr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5.设备数据涉及接入我院HIS网络的，验收时按我院要求能查询到HIS网络数据，产生的费用全部由中标方承担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szCs w:val="24"/>
              </w:rPr>
              <w:t>。</w:t>
            </w:r>
          </w:p>
          <w:p w14:paraId="7D9211F6">
            <w:pPr>
              <w:spacing w:line="400" w:lineRule="exact"/>
              <w:jc w:val="left"/>
              <w:rPr>
                <w:rFonts w:hint="eastAsia" w:ascii="宋体" w:hAnsi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宋体" w:hAnsi="宋体"/>
                <w:color w:val="auto"/>
                <w:sz w:val="24"/>
                <w:szCs w:val="24"/>
              </w:rPr>
              <w:t>．在广西省内设有办事处，配备售后服务工程师，定期巡检培训；</w:t>
            </w:r>
          </w:p>
          <w:p w14:paraId="1097A7A7">
            <w:pPr>
              <w:spacing w:line="400" w:lineRule="exact"/>
              <w:jc w:val="left"/>
              <w:rPr>
                <w:rFonts w:hint="eastAsia" w:ascii="宋体" w:hAnsi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7</w:t>
            </w:r>
            <w:r>
              <w:rPr>
                <w:rFonts w:hint="eastAsia" w:ascii="宋体" w:hAnsi="宋体"/>
                <w:color w:val="auto"/>
                <w:sz w:val="24"/>
                <w:szCs w:val="24"/>
              </w:rPr>
              <w:t>．产品零配件国内供应及时；设备主机保修</w:t>
            </w:r>
            <w:r>
              <w:rPr>
                <w:rFonts w:ascii="宋体" w:hAnsi="宋体"/>
                <w:color w:val="auto"/>
                <w:sz w:val="24"/>
                <w:szCs w:val="24"/>
              </w:rPr>
              <w:t>3</w:t>
            </w:r>
            <w:r>
              <w:rPr>
                <w:rFonts w:hint="eastAsia" w:ascii="宋体" w:hAnsi="宋体"/>
                <w:color w:val="auto"/>
                <w:sz w:val="24"/>
                <w:szCs w:val="24"/>
              </w:rPr>
              <w:t>年；终身维护；</w:t>
            </w:r>
          </w:p>
          <w:p w14:paraId="6C4FCE4A">
            <w:pPr>
              <w:jc w:val="left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8</w:t>
            </w:r>
            <w:r>
              <w:rPr>
                <w:rFonts w:hint="eastAsia" w:ascii="宋体" w:hAnsi="宋体"/>
                <w:color w:val="auto"/>
                <w:sz w:val="24"/>
                <w:szCs w:val="24"/>
              </w:rPr>
              <w:t>．维修响应时间：2小时响应，48小时未解决问题提供备用机</w:t>
            </w:r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使用</w:t>
            </w:r>
            <w:r>
              <w:rPr>
                <w:rFonts w:hint="eastAsia" w:ascii="宋体" w:hAnsi="宋体"/>
                <w:color w:val="auto"/>
                <w:sz w:val="24"/>
                <w:szCs w:val="24"/>
              </w:rPr>
              <w:t>。</w:t>
            </w:r>
          </w:p>
          <w:p w14:paraId="3F7F156D">
            <w:pPr>
              <w:jc w:val="center"/>
              <w:rPr>
                <w:rFonts w:hint="default" w:eastAsia="宋体"/>
                <w:sz w:val="24"/>
                <w:lang w:val="en-US" w:eastAsia="zh-CN"/>
              </w:rPr>
            </w:pPr>
          </w:p>
        </w:tc>
      </w:tr>
    </w:tbl>
    <w:p w14:paraId="70A13E71"/>
    <w:p w14:paraId="106777D6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ind w:firstLine="560" w:firstLineChars="200"/>
        <w:textAlignment w:val="auto"/>
        <w:rPr>
          <w:rFonts w:hint="eastAsia" w:ascii="Times New Roman" w:hAnsi="Times New Roman" w:eastAsia="宋体" w:cs="Times New Roman"/>
          <w:color w:val="auto"/>
          <w:sz w:val="28"/>
          <w:szCs w:val="28"/>
          <w:lang w:val="en-US" w:eastAsia="zh-CN"/>
        </w:rPr>
      </w:pPr>
      <w:r>
        <w:rPr>
          <w:rFonts w:hint="eastAsia" w:ascii="Times New Roman" w:hAnsi="Times New Roman" w:eastAsia="宋体" w:cs="Times New Roman"/>
          <w:color w:val="auto"/>
          <w:sz w:val="28"/>
          <w:szCs w:val="28"/>
          <w:lang w:val="en-US" w:eastAsia="zh-CN"/>
        </w:rPr>
        <w:t>三、配件</w:t>
      </w:r>
    </w:p>
    <w:p w14:paraId="4EF450E0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ind w:firstLine="560" w:firstLineChars="200"/>
        <w:textAlignment w:val="auto"/>
        <w:rPr>
          <w:rFonts w:hint="eastAsia" w:ascii="Times New Roman" w:hAnsi="Times New Roman" w:eastAsia="宋体" w:cs="Times New Roman"/>
          <w:color w:val="auto"/>
          <w:sz w:val="28"/>
          <w:szCs w:val="28"/>
          <w:lang w:val="en-US" w:eastAsia="zh-CN"/>
        </w:rPr>
      </w:pPr>
      <w:r>
        <w:rPr>
          <w:rFonts w:hint="eastAsia" w:ascii="Times New Roman" w:hAnsi="Times New Roman" w:eastAsia="宋体" w:cs="Times New Roman"/>
          <w:color w:val="auto"/>
          <w:sz w:val="28"/>
          <w:szCs w:val="28"/>
          <w:lang w:val="en-US" w:eastAsia="zh-CN"/>
        </w:rPr>
        <w:t>设备出保修期后配件的价格：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5"/>
        <w:gridCol w:w="2521"/>
        <w:gridCol w:w="1704"/>
        <w:gridCol w:w="1704"/>
        <w:gridCol w:w="1704"/>
      </w:tblGrid>
      <w:tr w14:paraId="5381EB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  <w:vAlign w:val="center"/>
          </w:tcPr>
          <w:p w14:paraId="40EC2EC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  <w:t>序号</w:t>
            </w:r>
          </w:p>
        </w:tc>
        <w:tc>
          <w:tcPr>
            <w:tcW w:w="2521" w:type="dxa"/>
            <w:vAlign w:val="center"/>
          </w:tcPr>
          <w:p w14:paraId="2296A5E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  <w:t>配件名称</w:t>
            </w:r>
          </w:p>
        </w:tc>
        <w:tc>
          <w:tcPr>
            <w:tcW w:w="1704" w:type="dxa"/>
            <w:vAlign w:val="center"/>
          </w:tcPr>
          <w:p w14:paraId="5ADD287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  <w:t>更换频率（次/年）</w:t>
            </w:r>
          </w:p>
        </w:tc>
        <w:tc>
          <w:tcPr>
            <w:tcW w:w="1704" w:type="dxa"/>
            <w:vAlign w:val="center"/>
          </w:tcPr>
          <w:p w14:paraId="2F1ACEB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  <w:t>配件价格（元）</w:t>
            </w:r>
          </w:p>
        </w:tc>
        <w:tc>
          <w:tcPr>
            <w:tcW w:w="1704" w:type="dxa"/>
            <w:vAlign w:val="center"/>
          </w:tcPr>
          <w:p w14:paraId="74CA2F3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  <w:t>年合计费用（元）</w:t>
            </w:r>
          </w:p>
        </w:tc>
      </w:tr>
      <w:tr w14:paraId="3F3639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 w14:paraId="65DE955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  <w:t>1</w:t>
            </w:r>
          </w:p>
        </w:tc>
        <w:tc>
          <w:tcPr>
            <w:tcW w:w="2521" w:type="dxa"/>
          </w:tcPr>
          <w:p w14:paraId="1F324AC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 w14:paraId="1E5C388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 w14:paraId="3618047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 w14:paraId="0CA36DE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142F1F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 w14:paraId="5CE0F08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  <w:t>2</w:t>
            </w:r>
          </w:p>
        </w:tc>
        <w:tc>
          <w:tcPr>
            <w:tcW w:w="2521" w:type="dxa"/>
          </w:tcPr>
          <w:p w14:paraId="7A7C40D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 w14:paraId="3FFE8DB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 w14:paraId="2ADB15F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 w14:paraId="28F5650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34264B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 w14:paraId="5EDB722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  <w:t>3</w:t>
            </w:r>
          </w:p>
        </w:tc>
        <w:tc>
          <w:tcPr>
            <w:tcW w:w="2521" w:type="dxa"/>
          </w:tcPr>
          <w:p w14:paraId="706A6A9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 w14:paraId="296325F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 w14:paraId="4094E40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 w14:paraId="442E5FD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26F526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 w14:paraId="2E6B2CB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  <w:t>4</w:t>
            </w:r>
          </w:p>
        </w:tc>
        <w:tc>
          <w:tcPr>
            <w:tcW w:w="2521" w:type="dxa"/>
          </w:tcPr>
          <w:p w14:paraId="4F6FA70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 w14:paraId="6ADD1DA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 w14:paraId="4BF25FF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 w14:paraId="45607EC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16526F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 w14:paraId="24EACCB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color w:val="auto"/>
                <w:sz w:val="28"/>
                <w:szCs w:val="28"/>
                <w:vertAlign w:val="baseline"/>
                <w:lang w:val="en-US" w:eastAsia="zh-CN"/>
              </w:rPr>
              <w:t>……</w:t>
            </w:r>
          </w:p>
        </w:tc>
        <w:tc>
          <w:tcPr>
            <w:tcW w:w="2521" w:type="dxa"/>
          </w:tcPr>
          <w:p w14:paraId="0B0C455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 w14:paraId="0FE5CF3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 w14:paraId="4A4F918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 w14:paraId="7B6DDD2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3CE301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 w14:paraId="26ED5BF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  <w:t>合计</w:t>
            </w:r>
          </w:p>
        </w:tc>
        <w:tc>
          <w:tcPr>
            <w:tcW w:w="2521" w:type="dxa"/>
          </w:tcPr>
          <w:p w14:paraId="1D484DA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 w14:paraId="3ACE268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 w14:paraId="7295F09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04" w:type="dxa"/>
          </w:tcPr>
          <w:p w14:paraId="71AF715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</w:p>
        </w:tc>
      </w:tr>
    </w:tbl>
    <w:p w14:paraId="5B16F673">
      <w:pPr>
        <w:rPr>
          <w:rFonts w:hint="default" w:ascii="Times New Roman" w:hAnsi="Times New Roman" w:eastAsia="宋体" w:cs="Times New Roman"/>
          <w:b/>
          <w:bCs/>
          <w:color w:val="C00000"/>
          <w:sz w:val="28"/>
          <w:szCs w:val="28"/>
          <w:lang w:val="en-US" w:eastAsia="zh-CN"/>
        </w:rPr>
      </w:pPr>
      <w:r>
        <w:rPr>
          <w:rFonts w:hint="eastAsia" w:ascii="宋体" w:hAnsi="宋体" w:cs="宋体"/>
          <w:b/>
          <w:bCs/>
          <w:color w:val="C00000"/>
          <w:sz w:val="28"/>
          <w:szCs w:val="28"/>
          <w:lang w:eastAsia="zh-CN"/>
        </w:rPr>
        <w:t>（</w:t>
      </w:r>
      <w:r>
        <w:rPr>
          <w:rFonts w:hint="eastAsia" w:ascii="宋体" w:hAnsi="宋体" w:cs="宋体"/>
          <w:b/>
          <w:bCs/>
          <w:color w:val="C00000"/>
          <w:sz w:val="28"/>
          <w:szCs w:val="28"/>
          <w:lang w:val="en-US" w:eastAsia="zh-CN"/>
        </w:rPr>
        <w:t>备注：此表由供应商填写，作为评标的重要依据。</w:t>
      </w:r>
      <w:r>
        <w:rPr>
          <w:rFonts w:hint="eastAsia" w:ascii="宋体" w:hAnsi="宋体" w:cs="宋体"/>
          <w:b/>
          <w:bCs/>
          <w:color w:val="C00000"/>
          <w:sz w:val="28"/>
          <w:szCs w:val="28"/>
          <w:lang w:eastAsia="zh-CN"/>
        </w:rPr>
        <w:t>）</w:t>
      </w:r>
    </w:p>
    <w:p w14:paraId="6AF8E28B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ind w:firstLine="560" w:firstLineChars="200"/>
        <w:textAlignment w:val="auto"/>
        <w:rPr>
          <w:rFonts w:hint="default" w:ascii="Times New Roman" w:hAnsi="Times New Roman" w:eastAsia="宋体" w:cs="Times New Roman"/>
          <w:color w:val="auto"/>
          <w:sz w:val="28"/>
          <w:szCs w:val="28"/>
          <w:lang w:val="en-US" w:eastAsia="zh-CN"/>
        </w:rPr>
      </w:pPr>
      <w:r>
        <w:rPr>
          <w:rFonts w:hint="eastAsia" w:ascii="Times New Roman" w:hAnsi="Times New Roman" w:eastAsia="宋体" w:cs="Times New Roman"/>
          <w:color w:val="auto"/>
          <w:sz w:val="28"/>
          <w:szCs w:val="28"/>
          <w:lang w:val="en-US" w:eastAsia="zh-CN"/>
        </w:rPr>
        <w:t>四、设备和耗材、检验试剂的关系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7"/>
        <w:gridCol w:w="996"/>
        <w:gridCol w:w="683"/>
        <w:gridCol w:w="839"/>
        <w:gridCol w:w="840"/>
        <w:gridCol w:w="840"/>
        <w:gridCol w:w="849"/>
        <w:gridCol w:w="836"/>
        <w:gridCol w:w="836"/>
        <w:gridCol w:w="836"/>
      </w:tblGrid>
      <w:tr w14:paraId="374036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8" w:hRule="atLeast"/>
        </w:trPr>
        <w:tc>
          <w:tcPr>
            <w:tcW w:w="967" w:type="dxa"/>
            <w:vAlign w:val="center"/>
          </w:tcPr>
          <w:p w14:paraId="2550BB33">
            <w:pPr>
              <w:jc w:val="center"/>
              <w:rPr>
                <w:rFonts w:hint="default" w:ascii="宋体" w:hAnsi="宋体" w:eastAsia="宋体" w:cs="宋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  <w:t>设备名称</w:t>
            </w:r>
          </w:p>
        </w:tc>
        <w:tc>
          <w:tcPr>
            <w:tcW w:w="996" w:type="dxa"/>
            <w:vAlign w:val="center"/>
          </w:tcPr>
          <w:p w14:paraId="31641928">
            <w:pPr>
              <w:jc w:val="center"/>
              <w:rPr>
                <w:rFonts w:hint="default" w:ascii="宋体" w:hAnsi="宋体" w:eastAsia="宋体" w:cs="宋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  <w:t>设备单价（元）</w:t>
            </w:r>
          </w:p>
        </w:tc>
        <w:tc>
          <w:tcPr>
            <w:tcW w:w="683" w:type="dxa"/>
            <w:vAlign w:val="center"/>
          </w:tcPr>
          <w:p w14:paraId="15B2B3F1">
            <w:pPr>
              <w:jc w:val="center"/>
              <w:rPr>
                <w:rFonts w:hint="default" w:ascii="宋体" w:hAnsi="宋体" w:eastAsia="宋体" w:cs="宋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  <w:t>国产/进口</w:t>
            </w:r>
          </w:p>
        </w:tc>
        <w:tc>
          <w:tcPr>
            <w:tcW w:w="839" w:type="dxa"/>
            <w:vAlign w:val="center"/>
          </w:tcPr>
          <w:p w14:paraId="350BF68D">
            <w:pPr>
              <w:jc w:val="center"/>
              <w:rPr>
                <w:rFonts w:hint="default" w:ascii="宋体" w:hAnsi="宋体" w:eastAsia="宋体" w:cs="宋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  <w:t>是否专机专用耗材</w:t>
            </w:r>
          </w:p>
        </w:tc>
        <w:tc>
          <w:tcPr>
            <w:tcW w:w="840" w:type="dxa"/>
            <w:vAlign w:val="center"/>
          </w:tcPr>
          <w:p w14:paraId="3F1ECEE7">
            <w:pPr>
              <w:jc w:val="center"/>
              <w:rPr>
                <w:rFonts w:hint="default" w:ascii="宋体" w:hAnsi="宋体" w:eastAsia="宋体" w:cs="宋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  <w:t>耗材品牌</w:t>
            </w:r>
          </w:p>
        </w:tc>
        <w:tc>
          <w:tcPr>
            <w:tcW w:w="840" w:type="dxa"/>
            <w:vAlign w:val="center"/>
          </w:tcPr>
          <w:p w14:paraId="5F52E550">
            <w:pPr>
              <w:jc w:val="center"/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  <w:r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  <w:t>耗材名称</w:t>
            </w:r>
          </w:p>
        </w:tc>
        <w:tc>
          <w:tcPr>
            <w:tcW w:w="849" w:type="dxa"/>
            <w:vAlign w:val="center"/>
          </w:tcPr>
          <w:p w14:paraId="728DB61E">
            <w:pPr>
              <w:jc w:val="both"/>
              <w:rPr>
                <w:rFonts w:hint="default" w:ascii="宋体" w:hAnsi="宋体" w:eastAsia="宋体" w:cs="宋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  <w:t>集采/阳光网</w:t>
            </w:r>
          </w:p>
        </w:tc>
        <w:tc>
          <w:tcPr>
            <w:tcW w:w="836" w:type="dxa"/>
            <w:vAlign w:val="center"/>
          </w:tcPr>
          <w:p w14:paraId="7E0B85B8">
            <w:pPr>
              <w:jc w:val="center"/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  <w:t>集采价格</w:t>
            </w:r>
          </w:p>
        </w:tc>
        <w:tc>
          <w:tcPr>
            <w:tcW w:w="836" w:type="dxa"/>
            <w:vAlign w:val="center"/>
          </w:tcPr>
          <w:p w14:paraId="12F0A080">
            <w:pPr>
              <w:jc w:val="center"/>
              <w:rPr>
                <w:rFonts w:hint="default" w:ascii="宋体" w:hAnsi="宋体" w:cs="宋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  <w:t>阳光网价格</w:t>
            </w:r>
          </w:p>
        </w:tc>
        <w:tc>
          <w:tcPr>
            <w:tcW w:w="836" w:type="dxa"/>
            <w:vAlign w:val="center"/>
          </w:tcPr>
          <w:p w14:paraId="46FE2DA6">
            <w:pPr>
              <w:jc w:val="center"/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  <w:t>阳光网成交价格</w:t>
            </w:r>
          </w:p>
        </w:tc>
      </w:tr>
      <w:tr w14:paraId="6589B5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967" w:type="dxa"/>
            <w:shd w:val="clear" w:color="auto" w:fill="auto"/>
            <w:vAlign w:val="center"/>
          </w:tcPr>
          <w:p w14:paraId="4A292D05">
            <w:pPr>
              <w:rPr>
                <w:rFonts w:hint="eastAsia" w:ascii="宋体" w:hAnsi="宋体" w:eastAsia="宋体" w:cs="宋体"/>
                <w:color w:val="auto"/>
                <w:kern w:val="2"/>
                <w:sz w:val="15"/>
                <w:szCs w:val="15"/>
                <w:vertAlign w:val="baseline"/>
                <w:lang w:val="en-US" w:eastAsia="zh-CN" w:bidi="ar-SA"/>
              </w:rPr>
            </w:pPr>
            <w:r>
              <w:rPr>
                <w:rFonts w:hint="eastAsia"/>
                <w:color w:val="auto"/>
                <w:sz w:val="15"/>
                <w:szCs w:val="15"/>
                <w:lang w:val="en-US" w:eastAsia="zh-CN"/>
              </w:rPr>
              <w:t>电子上消化道内窥镜</w:t>
            </w:r>
          </w:p>
        </w:tc>
        <w:tc>
          <w:tcPr>
            <w:tcW w:w="996" w:type="dxa"/>
            <w:shd w:val="clear" w:color="auto" w:fill="auto"/>
            <w:vAlign w:val="center"/>
          </w:tcPr>
          <w:p w14:paraId="1E058D05">
            <w:pPr>
              <w:rPr>
                <w:rFonts w:hint="default" w:ascii="宋体" w:hAnsi="宋体" w:eastAsia="宋体" w:cs="宋体"/>
                <w:color w:val="auto"/>
                <w:kern w:val="2"/>
                <w:sz w:val="15"/>
                <w:szCs w:val="15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  <w:t>1300000</w:t>
            </w:r>
          </w:p>
        </w:tc>
        <w:tc>
          <w:tcPr>
            <w:tcW w:w="683" w:type="dxa"/>
            <w:shd w:val="clear" w:color="auto" w:fill="auto"/>
            <w:vAlign w:val="center"/>
          </w:tcPr>
          <w:p w14:paraId="7265E56B">
            <w:pPr>
              <w:rPr>
                <w:rFonts w:hint="eastAsia" w:ascii="宋体" w:hAnsi="宋体" w:eastAsia="宋体" w:cs="宋体"/>
                <w:color w:val="auto"/>
                <w:kern w:val="2"/>
                <w:sz w:val="15"/>
                <w:szCs w:val="15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vertAlign w:val="baseline"/>
                <w:lang w:eastAsia="zh-CN"/>
              </w:rPr>
              <w:t>国产</w:t>
            </w:r>
          </w:p>
        </w:tc>
        <w:tc>
          <w:tcPr>
            <w:tcW w:w="839" w:type="dxa"/>
            <w:shd w:val="clear" w:color="auto" w:fill="auto"/>
            <w:vAlign w:val="center"/>
          </w:tcPr>
          <w:p w14:paraId="76B23EAF">
            <w:pPr>
              <w:rPr>
                <w:rFonts w:hint="eastAsia" w:ascii="宋体" w:hAnsi="宋体" w:eastAsia="宋体" w:cs="宋体"/>
                <w:color w:val="auto"/>
                <w:kern w:val="2"/>
                <w:sz w:val="15"/>
                <w:szCs w:val="15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vertAlign w:val="baseline"/>
                <w:lang w:eastAsia="zh-CN"/>
              </w:rPr>
              <w:t>否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5841D4F1">
            <w:pPr>
              <w:rPr>
                <w:rFonts w:hint="eastAsia" w:ascii="宋体" w:hAnsi="宋体" w:eastAsia="宋体" w:cs="宋体"/>
                <w:color w:val="auto"/>
                <w:kern w:val="2"/>
                <w:sz w:val="15"/>
                <w:szCs w:val="15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vertAlign w:val="baseline"/>
                <w:lang w:eastAsia="zh-CN"/>
              </w:rPr>
              <w:t>安杰思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790D8876">
            <w:pPr>
              <w:rPr>
                <w:rFonts w:hint="eastAsia" w:ascii="宋体" w:hAnsi="宋体" w:eastAsia="宋体" w:cs="宋体"/>
                <w:color w:val="auto"/>
                <w:kern w:val="2"/>
                <w:sz w:val="15"/>
                <w:szCs w:val="15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vertAlign w:val="baseline"/>
              </w:rPr>
              <w:t>电圈套器</w:t>
            </w:r>
          </w:p>
        </w:tc>
        <w:tc>
          <w:tcPr>
            <w:tcW w:w="849" w:type="dxa"/>
            <w:shd w:val="clear" w:color="auto" w:fill="auto"/>
            <w:vAlign w:val="center"/>
          </w:tcPr>
          <w:p w14:paraId="1F6E30F1">
            <w:pPr>
              <w:rPr>
                <w:rFonts w:hint="eastAsia" w:ascii="宋体" w:hAnsi="宋体" w:eastAsia="宋体" w:cs="宋体"/>
                <w:color w:val="auto"/>
                <w:kern w:val="2"/>
                <w:sz w:val="15"/>
                <w:szCs w:val="15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  <w:t>769</w:t>
            </w:r>
          </w:p>
        </w:tc>
        <w:tc>
          <w:tcPr>
            <w:tcW w:w="836" w:type="dxa"/>
            <w:shd w:val="clear" w:color="auto" w:fill="auto"/>
            <w:vAlign w:val="center"/>
          </w:tcPr>
          <w:p w14:paraId="412C2B7D">
            <w:pPr>
              <w:rPr>
                <w:rFonts w:hint="eastAsia" w:ascii="宋体" w:hAnsi="宋体" w:eastAsia="宋体" w:cs="宋体"/>
                <w:color w:val="auto"/>
                <w:kern w:val="2"/>
                <w:sz w:val="15"/>
                <w:szCs w:val="15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  <w:t>769</w:t>
            </w:r>
          </w:p>
        </w:tc>
        <w:tc>
          <w:tcPr>
            <w:tcW w:w="836" w:type="dxa"/>
            <w:shd w:val="clear" w:color="auto" w:fill="auto"/>
            <w:vAlign w:val="center"/>
          </w:tcPr>
          <w:p w14:paraId="7DB71F83">
            <w:pPr>
              <w:rPr>
                <w:rFonts w:hint="eastAsia" w:ascii="宋体" w:hAnsi="宋体" w:eastAsia="宋体" w:cs="宋体"/>
                <w:color w:val="auto"/>
                <w:kern w:val="2"/>
                <w:sz w:val="15"/>
                <w:szCs w:val="15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  <w:t>769</w:t>
            </w:r>
          </w:p>
        </w:tc>
        <w:tc>
          <w:tcPr>
            <w:tcW w:w="836" w:type="dxa"/>
            <w:shd w:val="clear" w:color="auto" w:fill="auto"/>
            <w:vAlign w:val="center"/>
          </w:tcPr>
          <w:p w14:paraId="4FD50084">
            <w:pPr>
              <w:rPr>
                <w:rFonts w:hint="eastAsia" w:ascii="宋体" w:hAnsi="宋体" w:eastAsia="宋体" w:cs="宋体"/>
                <w:color w:val="auto"/>
                <w:kern w:val="2"/>
                <w:sz w:val="15"/>
                <w:szCs w:val="15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  <w:t>200</w:t>
            </w:r>
          </w:p>
        </w:tc>
      </w:tr>
      <w:tr w14:paraId="1FF391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967" w:type="dxa"/>
            <w:shd w:val="clear" w:color="auto" w:fill="auto"/>
            <w:vAlign w:val="center"/>
          </w:tcPr>
          <w:p w14:paraId="268D242A">
            <w:pPr>
              <w:rPr>
                <w:rFonts w:hint="eastAsia" w:ascii="宋体" w:hAnsi="宋体" w:eastAsia="宋体" w:cs="宋体"/>
                <w:color w:val="auto"/>
                <w:kern w:val="2"/>
                <w:sz w:val="15"/>
                <w:szCs w:val="15"/>
                <w:vertAlign w:val="baseline"/>
                <w:lang w:val="en-US" w:eastAsia="zh-CN" w:bidi="ar-SA"/>
              </w:rPr>
            </w:pPr>
            <w:r>
              <w:rPr>
                <w:rFonts w:hint="eastAsia"/>
                <w:color w:val="auto"/>
                <w:sz w:val="15"/>
                <w:szCs w:val="15"/>
                <w:lang w:val="en-US" w:eastAsia="zh-CN"/>
              </w:rPr>
              <w:t>电子上消化道内窥镜</w:t>
            </w:r>
          </w:p>
        </w:tc>
        <w:tc>
          <w:tcPr>
            <w:tcW w:w="996" w:type="dxa"/>
            <w:shd w:val="clear" w:color="auto" w:fill="auto"/>
            <w:vAlign w:val="center"/>
          </w:tcPr>
          <w:p w14:paraId="2C85AEFC">
            <w:pPr>
              <w:rPr>
                <w:rFonts w:hint="default" w:ascii="宋体" w:hAnsi="宋体" w:eastAsia="宋体" w:cs="宋体"/>
                <w:color w:val="auto"/>
                <w:kern w:val="2"/>
                <w:sz w:val="15"/>
                <w:szCs w:val="15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2"/>
                <w:sz w:val="15"/>
                <w:szCs w:val="15"/>
                <w:vertAlign w:val="baseline"/>
                <w:lang w:val="en-US" w:eastAsia="zh-CN" w:bidi="ar-SA"/>
              </w:rPr>
              <w:t>1300000</w:t>
            </w:r>
          </w:p>
        </w:tc>
        <w:tc>
          <w:tcPr>
            <w:tcW w:w="683" w:type="dxa"/>
            <w:shd w:val="clear" w:color="auto" w:fill="auto"/>
            <w:vAlign w:val="center"/>
          </w:tcPr>
          <w:p w14:paraId="75FC5632">
            <w:pPr>
              <w:rPr>
                <w:rFonts w:hint="eastAsia" w:ascii="宋体" w:hAnsi="宋体" w:eastAsia="宋体" w:cs="宋体"/>
                <w:color w:val="auto"/>
                <w:kern w:val="2"/>
                <w:sz w:val="15"/>
                <w:szCs w:val="15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vertAlign w:val="baseline"/>
                <w:lang w:eastAsia="zh-CN"/>
              </w:rPr>
              <w:t>国产</w:t>
            </w:r>
          </w:p>
        </w:tc>
        <w:tc>
          <w:tcPr>
            <w:tcW w:w="839" w:type="dxa"/>
            <w:shd w:val="clear" w:color="auto" w:fill="auto"/>
            <w:vAlign w:val="center"/>
          </w:tcPr>
          <w:p w14:paraId="71F06BBA">
            <w:pPr>
              <w:rPr>
                <w:rFonts w:hint="eastAsia" w:ascii="宋体" w:hAnsi="宋体" w:eastAsia="宋体" w:cs="宋体"/>
                <w:color w:val="auto"/>
                <w:kern w:val="2"/>
                <w:sz w:val="15"/>
                <w:szCs w:val="15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vertAlign w:val="baseline"/>
                <w:lang w:eastAsia="zh-CN"/>
              </w:rPr>
              <w:t>否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3AF2B82F">
            <w:pPr>
              <w:rPr>
                <w:rFonts w:hint="eastAsia" w:ascii="宋体" w:hAnsi="宋体" w:eastAsia="宋体" w:cs="宋体"/>
                <w:color w:val="auto"/>
                <w:kern w:val="2"/>
                <w:sz w:val="15"/>
                <w:szCs w:val="15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vertAlign w:val="baseline"/>
                <w:lang w:eastAsia="zh-CN"/>
              </w:rPr>
              <w:t>安杰思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41D163A0">
            <w:pPr>
              <w:rPr>
                <w:rFonts w:hint="eastAsia" w:ascii="宋体" w:hAnsi="宋体" w:eastAsia="宋体" w:cs="宋体"/>
                <w:color w:val="auto"/>
                <w:kern w:val="2"/>
                <w:sz w:val="15"/>
                <w:szCs w:val="15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vertAlign w:val="baseline"/>
              </w:rPr>
              <w:t>一次性使用活组织取样钳</w:t>
            </w:r>
          </w:p>
        </w:tc>
        <w:tc>
          <w:tcPr>
            <w:tcW w:w="849" w:type="dxa"/>
            <w:shd w:val="clear" w:color="auto" w:fill="auto"/>
            <w:vAlign w:val="center"/>
          </w:tcPr>
          <w:p w14:paraId="3D5B54A7">
            <w:pPr>
              <w:rPr>
                <w:rFonts w:hint="eastAsia" w:ascii="宋体" w:hAnsi="宋体" w:eastAsia="宋体" w:cs="宋体"/>
                <w:color w:val="auto"/>
                <w:kern w:val="2"/>
                <w:sz w:val="15"/>
                <w:szCs w:val="15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  <w:t>10.05</w:t>
            </w:r>
          </w:p>
        </w:tc>
        <w:tc>
          <w:tcPr>
            <w:tcW w:w="836" w:type="dxa"/>
            <w:shd w:val="clear" w:color="auto" w:fill="auto"/>
            <w:vAlign w:val="center"/>
          </w:tcPr>
          <w:p w14:paraId="536B5C48">
            <w:pPr>
              <w:rPr>
                <w:rFonts w:hint="eastAsia" w:ascii="宋体" w:hAnsi="宋体" w:eastAsia="宋体" w:cs="宋体"/>
                <w:color w:val="auto"/>
                <w:kern w:val="2"/>
                <w:sz w:val="15"/>
                <w:szCs w:val="15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  <w:t>10.05</w:t>
            </w:r>
          </w:p>
        </w:tc>
        <w:tc>
          <w:tcPr>
            <w:tcW w:w="836" w:type="dxa"/>
            <w:shd w:val="clear" w:color="auto" w:fill="auto"/>
            <w:vAlign w:val="center"/>
          </w:tcPr>
          <w:p w14:paraId="44C5B55B">
            <w:pPr>
              <w:rPr>
                <w:rFonts w:hint="eastAsia" w:ascii="宋体" w:hAnsi="宋体" w:eastAsia="宋体" w:cs="宋体"/>
                <w:color w:val="auto"/>
                <w:kern w:val="2"/>
                <w:sz w:val="15"/>
                <w:szCs w:val="15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  <w:t>10.05</w:t>
            </w:r>
          </w:p>
        </w:tc>
        <w:tc>
          <w:tcPr>
            <w:tcW w:w="836" w:type="dxa"/>
            <w:shd w:val="clear" w:color="auto" w:fill="auto"/>
            <w:vAlign w:val="center"/>
          </w:tcPr>
          <w:p w14:paraId="09E62551">
            <w:pPr>
              <w:rPr>
                <w:rFonts w:hint="eastAsia" w:ascii="宋体" w:hAnsi="宋体" w:eastAsia="宋体" w:cs="宋体"/>
                <w:color w:val="auto"/>
                <w:kern w:val="2"/>
                <w:sz w:val="15"/>
                <w:szCs w:val="15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vertAlign w:val="baseline"/>
                <w:lang w:val="en-US" w:eastAsia="zh-CN"/>
              </w:rPr>
              <w:t>10.05</w:t>
            </w:r>
          </w:p>
        </w:tc>
      </w:tr>
      <w:tr w14:paraId="46B7E3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967" w:type="dxa"/>
            <w:vAlign w:val="center"/>
          </w:tcPr>
          <w:p w14:paraId="77731746"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996" w:type="dxa"/>
            <w:vAlign w:val="center"/>
          </w:tcPr>
          <w:p w14:paraId="60705971"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683" w:type="dxa"/>
            <w:vAlign w:val="center"/>
          </w:tcPr>
          <w:p w14:paraId="259C3676"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39" w:type="dxa"/>
            <w:vAlign w:val="center"/>
          </w:tcPr>
          <w:p w14:paraId="4796C591"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40" w:type="dxa"/>
            <w:vAlign w:val="center"/>
          </w:tcPr>
          <w:p w14:paraId="5C36EC5D"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40" w:type="dxa"/>
            <w:vAlign w:val="center"/>
          </w:tcPr>
          <w:p w14:paraId="298BAEFE"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49" w:type="dxa"/>
            <w:vAlign w:val="center"/>
          </w:tcPr>
          <w:p w14:paraId="2D8CB308"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36" w:type="dxa"/>
            <w:vAlign w:val="center"/>
          </w:tcPr>
          <w:p w14:paraId="42800251"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36" w:type="dxa"/>
            <w:vAlign w:val="center"/>
          </w:tcPr>
          <w:p w14:paraId="7EBCF3B5"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  <w:tc>
          <w:tcPr>
            <w:tcW w:w="836" w:type="dxa"/>
            <w:vAlign w:val="center"/>
          </w:tcPr>
          <w:p w14:paraId="2195DE57">
            <w:pPr>
              <w:rPr>
                <w:rFonts w:hint="eastAsia" w:ascii="宋体" w:hAnsi="宋体" w:eastAsia="宋体" w:cs="宋体"/>
                <w:color w:val="auto"/>
                <w:vertAlign w:val="baseline"/>
              </w:rPr>
            </w:pPr>
          </w:p>
        </w:tc>
      </w:tr>
    </w:tbl>
    <w:p w14:paraId="31FC0F40">
      <w:pPr>
        <w:rPr>
          <w:rFonts w:hint="eastAsia" w:ascii="宋体" w:hAnsi="宋体" w:eastAsia="宋体" w:cs="宋体"/>
          <w:color w:val="auto"/>
          <w:lang w:eastAsia="zh-CN"/>
        </w:rPr>
      </w:pPr>
      <w:r>
        <w:rPr>
          <w:rFonts w:hint="eastAsia" w:ascii="宋体" w:hAnsi="宋体" w:eastAsia="宋体" w:cs="宋体"/>
          <w:b/>
          <w:bCs/>
          <w:color w:val="C00000"/>
          <w:sz w:val="28"/>
          <w:szCs w:val="28"/>
          <w:lang w:val="en-US" w:eastAsia="zh-CN"/>
        </w:rPr>
        <w:t>（备注：此表由供应商填写，作为评标的重要依据。</w:t>
      </w:r>
      <w:r>
        <w:rPr>
          <w:rFonts w:hint="eastAsia" w:ascii="宋体" w:hAnsi="宋体" w:eastAsia="宋体" w:cs="宋体"/>
          <w:b/>
          <w:bCs/>
          <w:color w:val="C00000"/>
          <w:sz w:val="28"/>
          <w:szCs w:val="28"/>
          <w:lang w:eastAsia="zh-CN"/>
        </w:rPr>
        <w:t>）</w:t>
      </w:r>
    </w:p>
    <w:p w14:paraId="0FCEDEB4">
      <w:pPr>
        <w:spacing w:line="480" w:lineRule="auto"/>
        <w:ind w:firstLine="5783" w:firstLineChars="2400"/>
        <w:rPr>
          <w:rFonts w:hint="eastAsia"/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科主任签名：</w:t>
      </w:r>
    </w:p>
    <w:p w14:paraId="2546B58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480" w:lineRule="auto"/>
        <w:textAlignment w:val="auto"/>
        <w:rPr>
          <w:rFonts w:hint="default"/>
          <w:lang w:val="en-US" w:eastAsia="zh-CN"/>
        </w:rPr>
      </w:pPr>
      <w:r>
        <w:rPr>
          <w:rFonts w:hint="default" w:ascii="宋体" w:hAnsi="宋体"/>
          <w:sz w:val="24"/>
          <w:szCs w:val="24"/>
          <w:lang w:val="en-US" w:eastAsia="zh-CN"/>
        </w:rPr>
        <w:t xml:space="preserve">                                                </w:t>
      </w:r>
      <w:r>
        <w:rPr>
          <w:rFonts w:hint="eastAsia" w:ascii="宋体" w:hAnsi="宋体" w:eastAsia="宋体"/>
          <w:sz w:val="24"/>
          <w:szCs w:val="24"/>
        </w:rPr>
        <w:t>20</w:t>
      </w:r>
      <w:r>
        <w:rPr>
          <w:rFonts w:hint="eastAsia" w:ascii="宋体" w:hAnsi="宋体"/>
          <w:sz w:val="24"/>
          <w:szCs w:val="24"/>
          <w:lang w:val="en-US" w:eastAsia="zh-CN"/>
        </w:rPr>
        <w:t>25</w:t>
      </w:r>
      <w:r>
        <w:rPr>
          <w:rFonts w:hint="eastAsia" w:ascii="宋体" w:hAnsi="宋体" w:eastAsia="宋体"/>
          <w:sz w:val="24"/>
          <w:szCs w:val="24"/>
        </w:rPr>
        <w:t>年</w:t>
      </w:r>
      <w:r>
        <w:rPr>
          <w:rFonts w:hint="eastAsia" w:ascii="宋体" w:hAnsi="宋体"/>
          <w:sz w:val="24"/>
          <w:szCs w:val="24"/>
          <w:lang w:val="en-US" w:eastAsia="zh-CN"/>
        </w:rPr>
        <w:t>1</w:t>
      </w:r>
      <w:r>
        <w:rPr>
          <w:rFonts w:hint="default" w:ascii="宋体" w:hAnsi="宋体"/>
          <w:sz w:val="24"/>
          <w:szCs w:val="24"/>
          <w:lang w:val="en-US" w:eastAsia="zh-CN"/>
        </w:rPr>
        <w:t>2</w:t>
      </w:r>
      <w:r>
        <w:rPr>
          <w:rFonts w:hint="eastAsia" w:ascii="宋体" w:hAnsi="宋体" w:eastAsia="宋体"/>
          <w:sz w:val="24"/>
          <w:szCs w:val="24"/>
        </w:rPr>
        <w:t>月</w:t>
      </w:r>
      <w:r>
        <w:rPr>
          <w:rFonts w:hint="default" w:ascii="宋体" w:hAnsi="宋体"/>
          <w:sz w:val="24"/>
          <w:szCs w:val="24"/>
          <w:lang w:val="en-US" w:eastAsia="zh-CN"/>
        </w:rPr>
        <w:t>4</w:t>
      </w:r>
      <w:r>
        <w:rPr>
          <w:rFonts w:hint="eastAsia" w:ascii="宋体" w:hAnsi="宋体" w:eastAsia="宋体"/>
          <w:sz w:val="24"/>
          <w:szCs w:val="24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UyNDI3YmY5ZjZhYjI0YzA4YzI0N2E1MGMzYjc2MmIifQ=="/>
  </w:docVars>
  <w:rsids>
    <w:rsidRoot w:val="78887C68"/>
    <w:rsid w:val="0E52151F"/>
    <w:rsid w:val="181A3A94"/>
    <w:rsid w:val="2D5A1F88"/>
    <w:rsid w:val="2E1C090F"/>
    <w:rsid w:val="30DC2FC2"/>
    <w:rsid w:val="3B620744"/>
    <w:rsid w:val="3E3A4B92"/>
    <w:rsid w:val="4246427A"/>
    <w:rsid w:val="45AB7B1B"/>
    <w:rsid w:val="4AD14CBF"/>
    <w:rsid w:val="4C0E4FC1"/>
    <w:rsid w:val="4E73075E"/>
    <w:rsid w:val="539F1B70"/>
    <w:rsid w:val="5DA47913"/>
    <w:rsid w:val="5DD13F07"/>
    <w:rsid w:val="65ED6CD8"/>
    <w:rsid w:val="69F0140A"/>
    <w:rsid w:val="75302505"/>
    <w:rsid w:val="78887C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15"/>
      <w:szCs w:val="15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99"/>
    <w:pPr>
      <w:jc w:val="left"/>
    </w:pPr>
    <w:rPr>
      <w:rFonts w:ascii="Courier New" w:hAnsi="Courier New" w:cs="Courier New"/>
      <w:sz w:val="20"/>
      <w:szCs w:val="20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6">
    <w:name w:val="表格文字"/>
    <w:basedOn w:val="1"/>
    <w:qFormat/>
    <w:uiPriority w:val="0"/>
    <w:pPr>
      <w:spacing w:before="25" w:after="25"/>
      <w:jc w:val="left"/>
    </w:pPr>
    <w:rPr>
      <w:bCs/>
      <w:spacing w:val="10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979</Words>
  <Characters>1036</Characters>
  <Lines>0</Lines>
  <Paragraphs>0</Paragraphs>
  <TotalTime>0</TotalTime>
  <ScaleCrop>false</ScaleCrop>
  <LinksUpToDate>false</LinksUpToDate>
  <CharactersWithSpaces>1088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2023-02-28T14:58:00Z</dcterms:created>
  <dc:creator>张军</dc:creator>
  <cp:lastModifiedBy>arman</cp:lastModifiedBy>
  <dcterms:modified xsi:type="dcterms:W3CDTF">2025-12-10T14:02:41Z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2A4726C0E2D84D2EB9C615D6D0338EBD_13</vt:lpwstr>
  </property>
  <property fmtid="{D5CDD505-2E9C-101B-9397-08002B2CF9AE}" pid="4" name="KSOTemplateDocerSaveRecord">
    <vt:lpwstr>eyJoZGlkIjoiODZhNTlkYmUyNzE5MjhlOWZhYjAzYmIzNTU4NDExN2YiLCJ1c2VySWQiOiI0NTc3NzgwNDUifQ==</vt:lpwstr>
  </property>
</Properties>
</file>