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1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6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智能麻精药品管理柜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用于麻醉科手术室麻精药品的存储、取用、库存管控及全流程数据追溯，适配手术室日常用药、术中紧急用药等场景，严格符合麻精药品“五专”管理规定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1.核心管控：支持双人权限登录、智能存取指引、自动库存更新、开机自检，满足合规管理需求；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2.信息化互联：可与医院HIS系统无缝对接，支持多药房联机，数据安全可溯源；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3.存储防护：多层大容量设计，钢板机身具备防暴变形功能；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4.操作显示：大尺寸触摸屏搭配储位专属显示，多模式预警可自由配置；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5.监控预警：全流程360度监控，覆盖取药异常、状态异常等多场景预警；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6.专项管理：支持药品全生命周期操作、手术室空瓶回收及应急取药；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7.应急保障：网络或停电时可一键开锁，确保用药连续性。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硬件配置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主体设备：符合存储规格的钢板机身，含≥7层智能抽屉及对应储位组件；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显示设备：≥17寸操作触摸屏+每个储位专属显示屏；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监控设备：360度全流程监控组件，保障操作可追溯；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  <w:r>
              <w:rPr>
                <w:rFonts w:hint="eastAsia"/>
                <w:sz w:val="24"/>
              </w:rPr>
              <w:t>控制设备：双人权限登录识别设备（支持不少于3种登录方式）、应急开锁装置；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>网络设备：支持与HIS系统互联的网络适配模块，确保数据传输稳定。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软件配置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核心管理软件：含双人权限管理、智能存取控制、库存自动更新、开机自检功能模块；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信息化软件：支持HIS系统对接、多药房联机、数据实时备份及溯源模块；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药品管理软件：含药品信息管理、预警设置、日记账生成、盘点及报表模块；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  <w:r>
              <w:rPr>
                <w:rFonts w:hint="eastAsia"/>
                <w:sz w:val="24"/>
              </w:rPr>
              <w:t>手术室专项软件：含空瓶回收、应急取药、申领审核、智能补货提醒模块；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>安全防护软件：保障数据传输、存储安全的加密及防护模块。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4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2"/>
            <w:bookmarkStart w:id="1" w:name="OLE_LINK3"/>
            <w:bookmarkStart w:id="2" w:name="OLE_LINK4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配件</w:t>
      </w:r>
    </w:p>
    <w:p>
      <w:pPr>
        <w:pStyle w:val="11"/>
        <w:rPr>
          <w:color w:val="auto"/>
        </w:rPr>
      </w:pPr>
      <w:r>
        <w:rPr>
          <w:color w:val="auto"/>
        </w:rPr>
        <w:t>设备出保修期后配件的价格：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523"/>
        <w:gridCol w:w="1704"/>
        <w:gridCol w:w="170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" w:type="pct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80" w:type="pct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000" w:type="pct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000" w:type="pct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000" w:type="pct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8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8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148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148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11"/>
        <w:rPr>
          <w:b/>
          <w:color w:val="C00000"/>
        </w:rPr>
      </w:pPr>
      <w:r>
        <w:rPr>
          <w:b/>
          <w:color w:val="C00000"/>
        </w:rPr>
        <w:t>（备注：此表由供应商填写，作为评标的重要依据。）</w:t>
      </w:r>
    </w:p>
    <w:p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设备和耗材、检验试剂的关系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2"/>
        <w:gridCol w:w="839"/>
        <w:gridCol w:w="839"/>
        <w:gridCol w:w="839"/>
        <w:gridCol w:w="849"/>
        <w:gridCol w:w="836"/>
        <w:gridCol w:w="837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67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584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400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492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492" w:type="pc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49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498" w:type="pct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490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491" w:type="pct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491" w:type="pc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67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584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00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2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2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2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8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0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1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1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567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584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00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2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2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2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8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0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1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491" w:type="pct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pStyle w:val="11"/>
        <w:rPr>
          <w:rFonts w:hint="default"/>
          <w:color w:val="auto"/>
          <w:lang w:val="en-US" w:eastAsia="zh-CN"/>
        </w:rPr>
      </w:pPr>
      <w:r>
        <w:rPr>
          <w:b/>
          <w:color w:val="C00000"/>
        </w:rPr>
        <w:t>（备注：此表由供应商填写，作为评标的重要依据。）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BEE83"/>
    <w:multiLevelType w:val="singleLevel"/>
    <w:tmpl w:val="314BEE83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B860F13"/>
    <w:rsid w:val="181A3A94"/>
    <w:rsid w:val="4246427A"/>
    <w:rsid w:val="4C0E4FC1"/>
    <w:rsid w:val="539F1B70"/>
    <w:rsid w:val="5C7C23D4"/>
    <w:rsid w:val="61424054"/>
    <w:rsid w:val="69F0140A"/>
    <w:rsid w:val="7481007F"/>
    <w:rsid w:val="78887C68"/>
    <w:rsid w:val="7A47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13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1924</Words>
  <Characters>2000</Characters>
  <Lines>0</Lines>
  <Paragraphs>0</Paragraphs>
  <TotalTime>9</TotalTime>
  <ScaleCrop>false</ScaleCrop>
  <LinksUpToDate>false</LinksUpToDate>
  <CharactersWithSpaces>2000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2025-12-11T08:41:00Z</cp:lastPrinted>
  <dcterms:modified xsi:type="dcterms:W3CDTF">2025-12-11T09:43:00Z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eyJoZGlkIjoiOWQ2ZWExMDIwMTAyNTlkY2I3MDQ0MGE2NzkwYzQ5NGQiLCJ1c2VySWQiOiIyNTgxOTczNDcifQ==</vt:lpwstr>
  </property>
</Properties>
</file>