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eastAsia" w:ascii="宋体" w:hAnsi="宋体"/>
          <w:bCs/>
          <w:sz w:val="28"/>
          <w:szCs w:val="28"/>
        </w:rPr>
      </w:pPr>
      <w:r>
        <w:rPr>
          <w:rFonts w:hint="eastAsia" w:ascii="宋体" w:hAnsi="宋体"/>
          <w:b/>
          <w:sz w:val="28"/>
          <w:szCs w:val="28"/>
        </w:rPr>
        <w:t>申购仪器设备的技术参数及配置要求</w:t>
      </w:r>
    </w:p>
    <w:tbl>
      <w:tblPr>
        <w:tblStyle w:val="3"/>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7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160" w:type="dxa"/>
            <w:tcBorders>
              <w:top w:val="single" w:color="auto" w:sz="4" w:space="0"/>
              <w:left w:val="single" w:color="auto" w:sz="4" w:space="0"/>
              <w:bottom w:val="single" w:color="auto" w:sz="4" w:space="0"/>
              <w:right w:val="single" w:color="auto" w:sz="4" w:space="0"/>
            </w:tcBorders>
            <w:noWrap w:val="0"/>
            <w:vAlign w:val="center"/>
          </w:tcPr>
          <w:p>
            <w:pPr>
              <w:jc w:val="center"/>
              <w:rPr>
                <w:sz w:val="28"/>
                <w:szCs w:val="28"/>
              </w:rPr>
            </w:pPr>
            <w:r>
              <w:rPr>
                <w:rFonts w:hint="eastAsia"/>
                <w:sz w:val="28"/>
                <w:szCs w:val="28"/>
              </w:rPr>
              <w:t>项目名称</w:t>
            </w:r>
          </w:p>
        </w:tc>
        <w:tc>
          <w:tcPr>
            <w:tcW w:w="7020" w:type="dxa"/>
            <w:tcBorders>
              <w:top w:val="single" w:color="auto" w:sz="4" w:space="0"/>
              <w:left w:val="single" w:color="auto" w:sz="4" w:space="0"/>
              <w:bottom w:val="single" w:color="auto" w:sz="4" w:space="0"/>
              <w:right w:val="single" w:color="auto" w:sz="4" w:space="0"/>
            </w:tcBorders>
            <w:noWrap w:val="0"/>
            <w:vAlign w:val="top"/>
          </w:tcPr>
          <w:p>
            <w:pPr>
              <w:jc w:val="center"/>
              <w:rPr>
                <w:sz w:val="28"/>
                <w:szCs w:val="28"/>
              </w:rPr>
            </w:pPr>
            <w:r>
              <w:rPr>
                <w:rFonts w:hint="eastAsia"/>
                <w:sz w:val="28"/>
                <w:szCs w:val="28"/>
              </w:rPr>
              <w:t>项参数说明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160"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r>
              <w:rPr>
                <w:rFonts w:hint="eastAsia"/>
                <w:sz w:val="24"/>
              </w:rPr>
              <w:t>申购设备名称</w:t>
            </w:r>
          </w:p>
        </w:tc>
        <w:tc>
          <w:tcPr>
            <w:tcW w:w="702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eastAsia="宋体"/>
                <w:sz w:val="24"/>
                <w:lang w:val="en-US" w:eastAsia="zh-CN"/>
              </w:rPr>
            </w:pPr>
            <w:r>
              <w:rPr>
                <w:rFonts w:hint="eastAsia"/>
                <w:color w:val="auto"/>
                <w:sz w:val="24"/>
                <w:lang w:val="en-US" w:eastAsia="zh-CN"/>
              </w:rPr>
              <w:t>非接触广角镜系统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2160"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r>
              <w:rPr>
                <w:rFonts w:hint="eastAsia"/>
                <w:sz w:val="24"/>
              </w:rPr>
              <w:t>用途及适用人群</w:t>
            </w:r>
          </w:p>
        </w:tc>
        <w:tc>
          <w:tcPr>
            <w:tcW w:w="7020" w:type="dxa"/>
            <w:tcBorders>
              <w:top w:val="single" w:color="auto" w:sz="4" w:space="0"/>
              <w:left w:val="single" w:color="auto" w:sz="4" w:space="0"/>
              <w:bottom w:val="single" w:color="auto" w:sz="4" w:space="0"/>
              <w:right w:val="single" w:color="auto" w:sz="4" w:space="0"/>
            </w:tcBorders>
            <w:noWrap w:val="0"/>
            <w:vAlign w:val="top"/>
          </w:tcPr>
          <w:p>
            <w:pPr>
              <w:ind w:firstLine="480" w:firstLineChars="200"/>
              <w:rPr>
                <w:rFonts w:hint="eastAsia"/>
                <w:color w:val="auto"/>
                <w:sz w:val="24"/>
                <w:lang w:val="en-US" w:eastAsia="zh-CN"/>
              </w:rPr>
            </w:pPr>
            <w:r>
              <w:rPr>
                <w:rFonts w:hint="eastAsia"/>
                <w:color w:val="auto"/>
                <w:sz w:val="24"/>
                <w:lang w:val="en-US" w:eastAsia="zh-CN"/>
              </w:rPr>
              <w:t>非接触广角镜系统是超声眼科晶状体摘除和玻璃体切除设备及附件（简称超乳玻切一体机）的专用镜头，配合超声眼科晶状体摘除和玻璃体切除设备及附件（简称超乳玻切一体机）主要用于治疗同时涉及晶状体和玻璃体/视网膜的复杂眼病，或需要联合手术的情况。主要适用人群有：</w:t>
            </w:r>
          </w:p>
          <w:p>
            <w:pPr>
              <w:ind w:firstLine="480" w:firstLineChars="200"/>
              <w:rPr>
                <w:rFonts w:hint="eastAsia"/>
                <w:color w:val="auto"/>
                <w:sz w:val="24"/>
                <w:lang w:val="en-US" w:eastAsia="zh-CN"/>
              </w:rPr>
            </w:pPr>
            <w:r>
              <w:rPr>
                <w:rFonts w:hint="eastAsia"/>
                <w:color w:val="auto"/>
                <w:sz w:val="24"/>
                <w:lang w:val="en-US" w:eastAsia="zh-CN"/>
              </w:rPr>
              <w:t>1.复杂眼底病患者：如患有严重的糖尿病视网膜病变、视网膜脱离、黄斑裂孔等，同时存在白内障或预计术后会加速白内障发展的患者。</w:t>
            </w:r>
          </w:p>
          <w:p>
            <w:pPr>
              <w:ind w:firstLine="480" w:firstLineChars="200"/>
              <w:rPr>
                <w:rFonts w:hint="eastAsia"/>
                <w:color w:val="auto"/>
                <w:sz w:val="24"/>
                <w:lang w:val="en-US" w:eastAsia="zh-CN"/>
              </w:rPr>
            </w:pPr>
            <w:r>
              <w:rPr>
                <w:rFonts w:hint="eastAsia"/>
                <w:color w:val="auto"/>
                <w:sz w:val="24"/>
                <w:lang w:val="en-US" w:eastAsia="zh-CN"/>
              </w:rPr>
              <w:t>2.复杂眼外伤患者：外伤导致白内障合并玻璃体积血、视网膜损伤或眼内异物等情况。</w:t>
            </w:r>
          </w:p>
          <w:p>
            <w:pPr>
              <w:ind w:firstLine="480" w:firstLineChars="200"/>
              <w:rPr>
                <w:rFonts w:hint="eastAsia"/>
                <w:color w:val="auto"/>
                <w:sz w:val="24"/>
                <w:lang w:val="en-US" w:eastAsia="zh-CN"/>
              </w:rPr>
            </w:pPr>
            <w:r>
              <w:rPr>
                <w:rFonts w:hint="eastAsia"/>
                <w:color w:val="auto"/>
                <w:sz w:val="24"/>
                <w:lang w:val="en-US" w:eastAsia="zh-CN"/>
              </w:rPr>
              <w:t>3.需联合手术者：某些青光眼或其它情况，需要在一次手术中同时处理白内障和眼底问题。</w:t>
            </w:r>
          </w:p>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2160"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r>
              <w:rPr>
                <w:rFonts w:hint="eastAsia"/>
                <w:sz w:val="24"/>
              </w:rPr>
              <w:t>设备的功能要求</w:t>
            </w:r>
          </w:p>
        </w:tc>
        <w:tc>
          <w:tcPr>
            <w:tcW w:w="7020" w:type="dxa"/>
            <w:tcBorders>
              <w:top w:val="single" w:color="auto" w:sz="4" w:space="0"/>
              <w:left w:val="single" w:color="auto" w:sz="4" w:space="0"/>
              <w:bottom w:val="single" w:color="auto" w:sz="4" w:space="0"/>
              <w:right w:val="single" w:color="auto" w:sz="4" w:space="0"/>
            </w:tcBorders>
            <w:noWrap w:val="0"/>
            <w:vAlign w:val="top"/>
          </w:tcPr>
          <w:p>
            <w:pPr>
              <w:widowControl/>
              <w:spacing w:line="240" w:lineRule="auto"/>
              <w:ind w:firstLine="480" w:firstLineChars="200"/>
              <w:jc w:val="left"/>
              <w:rPr>
                <w:rFonts w:hint="eastAsia" w:ascii="宋体" w:hAnsi="宋体" w:eastAsia="宋体"/>
                <w:sz w:val="24"/>
                <w:szCs w:val="24"/>
                <w:lang w:val="en-US" w:eastAsia="zh-CN"/>
              </w:rPr>
            </w:pPr>
            <w:r>
              <w:rPr>
                <w:rFonts w:hint="eastAsia"/>
                <w:color w:val="auto"/>
                <w:sz w:val="24"/>
                <w:lang w:val="en-US" w:eastAsia="zh-CN"/>
              </w:rPr>
              <w:t>非接触广角镜系统适用于超声眼科晶状体摘除和玻璃体切除设备及附件的手术显微镜，和现有的蔡司显微镜，型号：OPMILumera i）配套使用</w:t>
            </w:r>
            <w:bookmarkStart w:id="6" w:name="_GoBack"/>
            <w:bookmarkEnd w:id="6"/>
            <w:r>
              <w:rPr>
                <w:rFonts w:hint="eastAsia"/>
                <w:color w:val="auto"/>
                <w:sz w:val="24"/>
                <w:lang w:val="en-US" w:eastAsia="zh-CN"/>
              </w:rPr>
              <w:t>，施行复杂玻切眼底手术。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1" w:hRule="atLeast"/>
        </w:trPr>
        <w:tc>
          <w:tcPr>
            <w:tcW w:w="2160"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r>
              <w:rPr>
                <w:rFonts w:hint="eastAsia"/>
                <w:sz w:val="24"/>
              </w:rPr>
              <w:t>功能的技术指标及其他技术参数</w:t>
            </w:r>
          </w:p>
        </w:tc>
        <w:tc>
          <w:tcPr>
            <w:tcW w:w="7020" w:type="dxa"/>
            <w:tcBorders>
              <w:top w:val="single" w:color="auto" w:sz="4" w:space="0"/>
              <w:left w:val="single" w:color="auto" w:sz="4" w:space="0"/>
              <w:bottom w:val="single" w:color="auto" w:sz="4" w:space="0"/>
              <w:right w:val="single" w:color="auto" w:sz="4" w:space="0"/>
            </w:tcBorders>
            <w:noWrap w:val="0"/>
            <w:vAlign w:val="top"/>
          </w:tcPr>
          <w:p>
            <w:pPr>
              <w:numPr>
                <w:ilvl w:val="0"/>
                <w:numId w:val="0"/>
              </w:numPr>
              <w:ind w:leftChars="0"/>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21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 w:val="24"/>
              </w:rPr>
            </w:pPr>
            <w:r>
              <w:rPr>
                <w:rFonts w:hint="eastAsia"/>
                <w:sz w:val="24"/>
              </w:rPr>
              <w:t>软、硬件的</w:t>
            </w:r>
          </w:p>
          <w:p>
            <w:pPr>
              <w:ind w:firstLine="360" w:firstLineChars="150"/>
              <w:jc w:val="center"/>
              <w:rPr>
                <w:sz w:val="24"/>
              </w:rPr>
            </w:pPr>
            <w:r>
              <w:rPr>
                <w:rFonts w:hint="eastAsia"/>
                <w:sz w:val="24"/>
              </w:rPr>
              <w:t>配置要求</w:t>
            </w:r>
          </w:p>
        </w:tc>
        <w:tc>
          <w:tcPr>
            <w:tcW w:w="7020" w:type="dxa"/>
            <w:tcBorders>
              <w:top w:val="single" w:color="auto" w:sz="4" w:space="0"/>
              <w:left w:val="single" w:color="auto" w:sz="4" w:space="0"/>
              <w:bottom w:val="single" w:color="auto" w:sz="4" w:space="0"/>
              <w:right w:val="single" w:color="auto" w:sz="4" w:space="0"/>
            </w:tcBorders>
            <w:noWrap w:val="0"/>
            <w:vAlign w:val="top"/>
          </w:tcPr>
          <w:p>
            <w:pP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7" w:hRule="atLeast"/>
        </w:trPr>
        <w:tc>
          <w:tcPr>
            <w:tcW w:w="2160"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r>
              <w:rPr>
                <w:rFonts w:hint="eastAsia"/>
                <w:sz w:val="24"/>
              </w:rPr>
              <w:t>其它要求</w:t>
            </w:r>
          </w:p>
        </w:tc>
        <w:tc>
          <w:tcPr>
            <w:tcW w:w="702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120" w:lineRule="auto"/>
              <w:ind w:left="0" w:right="0"/>
              <w:jc w:val="left"/>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1.设备使用期</w:t>
            </w:r>
            <w:r>
              <w:rPr>
                <w:rFonts w:hint="default" w:ascii="Arial" w:hAnsi="Arial" w:cs="Arial"/>
                <w:color w:val="auto"/>
                <w:sz w:val="24"/>
                <w:szCs w:val="24"/>
                <w:lang w:val="en-US" w:eastAsia="zh-CN"/>
              </w:rPr>
              <w:t>≥</w:t>
            </w:r>
            <w:r>
              <w:rPr>
                <w:rFonts w:hint="eastAsia" w:ascii="Arial" w:hAnsi="Arial" w:cs="Arial"/>
                <w:color w:val="auto"/>
                <w:sz w:val="24"/>
                <w:szCs w:val="24"/>
                <w:lang w:val="en-US" w:eastAsia="zh-CN"/>
              </w:rPr>
              <w:t>6</w:t>
            </w:r>
            <w:r>
              <w:rPr>
                <w:rFonts w:hint="eastAsia" w:ascii="宋体" w:hAnsi="宋体"/>
                <w:color w:val="auto"/>
                <w:sz w:val="24"/>
                <w:szCs w:val="24"/>
                <w:lang w:val="en-US" w:eastAsia="zh-CN"/>
              </w:rPr>
              <w:t>年，设备的生产日期和合同签订的时间间隔不大于6个月。</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120" w:lineRule="auto"/>
              <w:ind w:left="0" w:right="0"/>
              <w:jc w:val="left"/>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2.</w:t>
            </w:r>
            <w:bookmarkStart w:id="0" w:name="OLE_LINK5"/>
            <w:bookmarkStart w:id="1" w:name="OLE_LINK2"/>
            <w:bookmarkStart w:id="2" w:name="OLE_LINK4"/>
            <w:bookmarkStart w:id="3" w:name="OLE_LINK3"/>
            <w:r>
              <w:rPr>
                <w:rFonts w:hint="eastAsia" w:ascii="宋体" w:hAnsi="宋体"/>
                <w:color w:val="auto"/>
                <w:sz w:val="24"/>
                <w:szCs w:val="24"/>
                <w:lang w:val="en-US" w:eastAsia="zh-CN"/>
              </w:rPr>
              <w:t>整机免费质保</w:t>
            </w:r>
            <w:r>
              <w:rPr>
                <w:rFonts w:hint="default" w:ascii="Arial" w:hAnsi="Arial" w:cs="Arial"/>
                <w:color w:val="auto"/>
                <w:sz w:val="24"/>
                <w:szCs w:val="24"/>
                <w:lang w:val="en-US" w:eastAsia="zh-CN"/>
              </w:rPr>
              <w:t>≥</w:t>
            </w:r>
            <w:r>
              <w:rPr>
                <w:rFonts w:hint="eastAsia" w:ascii="宋体" w:hAnsi="宋体"/>
                <w:color w:val="auto"/>
                <w:sz w:val="24"/>
                <w:szCs w:val="24"/>
                <w:lang w:val="en-US" w:eastAsia="zh-CN"/>
              </w:rPr>
              <w:t>3年；设备设计使用的耗材必须为开放的耗材，并提供阳光网能点配价格，验收时提供三个以上厂家的耗材使用进行验收。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120" w:lineRule="auto"/>
              <w:ind w:left="0" w:right="0"/>
              <w:jc w:val="left"/>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3.验收同时提供纸质版和电子版产品说明书。</w:t>
            </w:r>
            <w:bookmarkEnd w:id="0"/>
            <w:bookmarkEnd w:id="1"/>
            <w:bookmarkEnd w:id="2"/>
            <w:bookmarkEnd w:id="3"/>
            <w:r>
              <w:rPr>
                <w:rFonts w:hint="eastAsia" w:ascii="宋体" w:hAnsi="宋体"/>
                <w:color w:val="auto"/>
                <w:sz w:val="24"/>
                <w:szCs w:val="24"/>
                <w:lang w:val="en-US" w:eastAsia="zh-CN"/>
              </w:rPr>
              <w:t>供货时应同时附上中文使用说明书（包括纸质版和电子版）。</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120" w:lineRule="auto"/>
              <w:ind w:left="0" w:right="0"/>
              <w:jc w:val="left"/>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4.</w:t>
            </w:r>
            <w:bookmarkStart w:id="4" w:name="OLE_LINK7"/>
            <w:bookmarkStart w:id="5" w:name="OLE_LINK6"/>
            <w:r>
              <w:rPr>
                <w:rFonts w:hint="eastAsia" w:ascii="宋体" w:hAnsi="宋体"/>
                <w:color w:val="auto"/>
                <w:sz w:val="24"/>
                <w:szCs w:val="24"/>
                <w:lang w:val="en-US" w:eastAsia="zh-CN"/>
              </w:rPr>
              <w:t>为确保设备的售后服务质量，乙方必须提供其厂家免费质保三年的售后服务承诺书，包括设备厂家提供产品的终身免费升级服务。</w:t>
            </w:r>
            <w:bookmarkEnd w:id="4"/>
            <w:bookmarkEnd w:id="5"/>
          </w:p>
          <w:p>
            <w:pPr>
              <w:jc w:val="left"/>
              <w:rPr>
                <w:rFonts w:hint="eastAsia" w:asciiTheme="minorEastAsia" w:hAnsiTheme="minorEastAsia" w:eastAsiaTheme="minorEastAsia" w:cstheme="minorEastAsia"/>
                <w:color w:val="auto"/>
                <w:sz w:val="24"/>
                <w:szCs w:val="24"/>
              </w:rPr>
            </w:pPr>
            <w:r>
              <w:rPr>
                <w:rFonts w:hint="eastAsia" w:ascii="宋体" w:hAnsi="宋体"/>
                <w:color w:val="auto"/>
                <w:sz w:val="24"/>
                <w:szCs w:val="24"/>
                <w:lang w:val="en-US" w:eastAsia="zh-CN"/>
              </w:rPr>
              <w:t>5.设备数据涉及接入我院HIS网络的，验收时按我院要求能查询到HIS网络数据，产生的费用全部由中标方承担</w:t>
            </w:r>
            <w:r>
              <w:rPr>
                <w:rFonts w:hint="eastAsia" w:asciiTheme="minorEastAsia" w:hAnsiTheme="minorEastAsia" w:eastAsiaTheme="minorEastAsia" w:cstheme="minorEastAsia"/>
                <w:color w:val="auto"/>
                <w:sz w:val="24"/>
                <w:szCs w:val="24"/>
              </w:rPr>
              <w:t>。</w:t>
            </w:r>
          </w:p>
          <w:p>
            <w:pPr>
              <w:spacing w:line="400" w:lineRule="exact"/>
              <w:jc w:val="left"/>
              <w:rPr>
                <w:rFonts w:hint="eastAsia" w:ascii="宋体" w:hAnsi="宋体"/>
                <w:color w:val="auto"/>
                <w:sz w:val="24"/>
                <w:szCs w:val="24"/>
              </w:rPr>
            </w:pPr>
            <w:r>
              <w:rPr>
                <w:rFonts w:hint="eastAsia" w:ascii="宋体" w:hAnsi="宋体"/>
                <w:color w:val="auto"/>
                <w:sz w:val="24"/>
                <w:szCs w:val="24"/>
                <w:lang w:val="en-US" w:eastAsia="zh-CN"/>
              </w:rPr>
              <w:t>6</w:t>
            </w:r>
            <w:r>
              <w:rPr>
                <w:rFonts w:hint="eastAsia" w:ascii="宋体" w:hAnsi="宋体"/>
                <w:color w:val="auto"/>
                <w:sz w:val="24"/>
                <w:szCs w:val="24"/>
              </w:rPr>
              <w:t>．在广西省内设有办事处，配备售后服务工程师，定期巡检培训；</w:t>
            </w:r>
          </w:p>
          <w:p>
            <w:pPr>
              <w:spacing w:line="400" w:lineRule="exact"/>
              <w:jc w:val="left"/>
              <w:rPr>
                <w:rFonts w:hint="eastAsia" w:ascii="宋体" w:hAnsi="宋体"/>
                <w:color w:val="auto"/>
                <w:sz w:val="24"/>
                <w:szCs w:val="24"/>
              </w:rPr>
            </w:pPr>
            <w:r>
              <w:rPr>
                <w:rFonts w:hint="eastAsia" w:ascii="宋体" w:hAnsi="宋体"/>
                <w:color w:val="auto"/>
                <w:sz w:val="24"/>
                <w:szCs w:val="24"/>
                <w:lang w:val="en-US" w:eastAsia="zh-CN"/>
              </w:rPr>
              <w:t>7</w:t>
            </w:r>
            <w:r>
              <w:rPr>
                <w:rFonts w:hint="eastAsia" w:ascii="宋体" w:hAnsi="宋体"/>
                <w:color w:val="auto"/>
                <w:sz w:val="24"/>
                <w:szCs w:val="24"/>
              </w:rPr>
              <w:t>．产品零配件国内供应及时；设备主机保修</w:t>
            </w:r>
            <w:r>
              <w:rPr>
                <w:rFonts w:ascii="宋体" w:hAnsi="宋体"/>
                <w:color w:val="auto"/>
                <w:sz w:val="24"/>
                <w:szCs w:val="24"/>
              </w:rPr>
              <w:t>3</w:t>
            </w:r>
            <w:r>
              <w:rPr>
                <w:rFonts w:hint="eastAsia" w:ascii="宋体" w:hAnsi="宋体"/>
                <w:color w:val="auto"/>
                <w:sz w:val="24"/>
                <w:szCs w:val="24"/>
              </w:rPr>
              <w:t>年；终身维护；</w:t>
            </w:r>
          </w:p>
          <w:p>
            <w:pPr>
              <w:jc w:val="left"/>
              <w:rPr>
                <w:rFonts w:hint="default" w:eastAsia="宋体"/>
                <w:sz w:val="24"/>
                <w:lang w:val="en-US" w:eastAsia="zh-CN"/>
              </w:rPr>
            </w:pPr>
            <w:r>
              <w:rPr>
                <w:rFonts w:hint="eastAsia" w:ascii="宋体" w:hAnsi="宋体"/>
                <w:color w:val="auto"/>
                <w:sz w:val="24"/>
                <w:szCs w:val="24"/>
                <w:lang w:val="en-US" w:eastAsia="zh-CN"/>
              </w:rPr>
              <w:t>8</w:t>
            </w:r>
            <w:r>
              <w:rPr>
                <w:rFonts w:hint="eastAsia" w:ascii="宋体" w:hAnsi="宋体"/>
                <w:color w:val="auto"/>
                <w:sz w:val="24"/>
                <w:szCs w:val="24"/>
              </w:rPr>
              <w:t>．维修响应时间：2小时响应，48小时未解决问题提供备用机</w:t>
            </w:r>
            <w:r>
              <w:rPr>
                <w:rFonts w:hint="eastAsia" w:ascii="宋体" w:hAnsi="宋体"/>
                <w:color w:val="auto"/>
                <w:sz w:val="24"/>
                <w:szCs w:val="24"/>
                <w:lang w:val="en-US" w:eastAsia="zh-CN"/>
              </w:rPr>
              <w:t>使用</w:t>
            </w:r>
            <w:r>
              <w:rPr>
                <w:rFonts w:hint="eastAsia" w:ascii="宋体" w:hAnsi="宋体"/>
                <w:color w:val="auto"/>
                <w:sz w:val="24"/>
                <w:szCs w:val="24"/>
              </w:rPr>
              <w:t>。</w:t>
            </w:r>
          </w:p>
        </w:tc>
      </w:tr>
    </w:tbl>
    <w:p/>
    <w:p>
      <w:pPr>
        <w:ind w:firstLine="560" w:firstLineChars="200"/>
        <w:outlineLvl w:val="0"/>
        <w:rPr>
          <w:rFonts w:hint="eastAsia" w:ascii="Times New Roman" w:hAnsi="Times New Roman" w:eastAsia="宋体" w:cs="Times New Roman"/>
          <w:color w:val="auto"/>
          <w:sz w:val="28"/>
          <w:szCs w:val="28"/>
          <w:lang w:val="en-US" w:eastAsia="zh-CN"/>
        </w:rPr>
      </w:pPr>
      <w:r>
        <w:rPr>
          <w:rFonts w:hint="eastAsia" w:ascii="Times New Roman" w:hAnsi="Times New Roman" w:eastAsia="宋体" w:cs="Times New Roman"/>
          <w:color w:val="auto"/>
          <w:sz w:val="28"/>
          <w:szCs w:val="28"/>
          <w:lang w:val="en-US" w:eastAsia="zh-CN"/>
        </w:rPr>
        <w:t>三、配件</w:t>
      </w:r>
    </w:p>
    <w:p>
      <w:pPr>
        <w:pStyle w:val="2"/>
        <w:keepNext w:val="0"/>
        <w:keepLines w:val="0"/>
        <w:pageBreakBefore w:val="0"/>
        <w:widowControl w:val="0"/>
        <w:kinsoku/>
        <w:wordWrap/>
        <w:overflowPunct/>
        <w:topLinePunct w:val="0"/>
        <w:autoSpaceDE/>
        <w:autoSpaceDN/>
        <w:bidi w:val="0"/>
        <w:adjustRightInd/>
        <w:ind w:firstLine="560" w:firstLineChars="200"/>
        <w:textAlignment w:val="auto"/>
        <w:outlineLvl w:val="1"/>
        <w:rPr>
          <w:rFonts w:hint="eastAsia" w:ascii="Times New Roman" w:hAnsi="Times New Roman" w:eastAsia="宋体" w:cs="Times New Roman"/>
          <w:color w:val="auto"/>
          <w:sz w:val="28"/>
          <w:szCs w:val="28"/>
          <w:lang w:val="en-US" w:eastAsia="zh-CN"/>
        </w:rPr>
      </w:pPr>
      <w:r>
        <w:rPr>
          <w:rFonts w:hint="eastAsia" w:ascii="Times New Roman" w:hAnsi="Times New Roman" w:eastAsia="宋体" w:cs="Times New Roman"/>
          <w:color w:val="auto"/>
          <w:sz w:val="28"/>
          <w:szCs w:val="28"/>
          <w:lang w:val="en-US" w:eastAsia="zh-CN"/>
        </w:rPr>
        <w:t>设备出保修期后配件的价格：</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2521"/>
        <w:gridCol w:w="1704"/>
        <w:gridCol w:w="1704"/>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vAlign w:val="center"/>
          </w:tcPr>
          <w:p>
            <w:pPr>
              <w:pStyle w:val="2"/>
              <w:keepNext w:val="0"/>
              <w:keepLines w:val="0"/>
              <w:pageBreakBefore w:val="0"/>
              <w:widowControl w:val="0"/>
              <w:kinsoku/>
              <w:wordWrap/>
              <w:overflowPunct/>
              <w:topLinePunct w:val="0"/>
              <w:autoSpaceDE/>
              <w:autoSpaceDN/>
              <w:bidi w:val="0"/>
              <w:adjustRightInd/>
              <w:jc w:val="center"/>
              <w:textAlignment w:val="auto"/>
              <w:rPr>
                <w:rFonts w:hint="default" w:ascii="Times New Roman" w:hAnsi="Times New Roman" w:eastAsia="宋体" w:cs="Times New Roman"/>
                <w:color w:val="auto"/>
                <w:sz w:val="28"/>
                <w:szCs w:val="28"/>
                <w:vertAlign w:val="baseline"/>
                <w:lang w:val="en-US" w:eastAsia="zh-CN"/>
              </w:rPr>
            </w:pPr>
            <w:r>
              <w:rPr>
                <w:rFonts w:hint="eastAsia" w:ascii="Times New Roman" w:hAnsi="Times New Roman" w:eastAsia="宋体" w:cs="Times New Roman"/>
                <w:color w:val="auto"/>
                <w:sz w:val="28"/>
                <w:szCs w:val="28"/>
                <w:vertAlign w:val="baseline"/>
                <w:lang w:val="en-US" w:eastAsia="zh-CN"/>
              </w:rPr>
              <w:t>序号</w:t>
            </w:r>
          </w:p>
        </w:tc>
        <w:tc>
          <w:tcPr>
            <w:tcW w:w="2521" w:type="dxa"/>
            <w:vAlign w:val="center"/>
          </w:tcPr>
          <w:p>
            <w:pPr>
              <w:pStyle w:val="2"/>
              <w:keepNext w:val="0"/>
              <w:keepLines w:val="0"/>
              <w:pageBreakBefore w:val="0"/>
              <w:widowControl w:val="0"/>
              <w:kinsoku/>
              <w:wordWrap/>
              <w:overflowPunct/>
              <w:topLinePunct w:val="0"/>
              <w:autoSpaceDE/>
              <w:autoSpaceDN/>
              <w:bidi w:val="0"/>
              <w:adjustRightInd/>
              <w:jc w:val="center"/>
              <w:textAlignment w:val="auto"/>
              <w:rPr>
                <w:rFonts w:hint="default" w:ascii="Times New Roman" w:hAnsi="Times New Roman" w:eastAsia="宋体" w:cs="Times New Roman"/>
                <w:color w:val="auto"/>
                <w:sz w:val="28"/>
                <w:szCs w:val="28"/>
                <w:vertAlign w:val="baseline"/>
                <w:lang w:val="en-US" w:eastAsia="zh-CN"/>
              </w:rPr>
            </w:pPr>
            <w:r>
              <w:rPr>
                <w:rFonts w:hint="eastAsia" w:ascii="Times New Roman" w:hAnsi="Times New Roman" w:eastAsia="宋体" w:cs="Times New Roman"/>
                <w:color w:val="auto"/>
                <w:sz w:val="28"/>
                <w:szCs w:val="28"/>
                <w:vertAlign w:val="baseline"/>
                <w:lang w:val="en-US" w:eastAsia="zh-CN"/>
              </w:rPr>
              <w:t>配件名称</w:t>
            </w:r>
          </w:p>
        </w:tc>
        <w:tc>
          <w:tcPr>
            <w:tcW w:w="1704" w:type="dxa"/>
            <w:vAlign w:val="center"/>
          </w:tcPr>
          <w:p>
            <w:pPr>
              <w:pStyle w:val="2"/>
              <w:keepNext w:val="0"/>
              <w:keepLines w:val="0"/>
              <w:pageBreakBefore w:val="0"/>
              <w:widowControl w:val="0"/>
              <w:kinsoku/>
              <w:wordWrap/>
              <w:overflowPunct/>
              <w:topLinePunct w:val="0"/>
              <w:autoSpaceDE/>
              <w:autoSpaceDN/>
              <w:bidi w:val="0"/>
              <w:adjustRightInd/>
              <w:jc w:val="center"/>
              <w:textAlignment w:val="auto"/>
              <w:rPr>
                <w:rFonts w:hint="default" w:ascii="Times New Roman" w:hAnsi="Times New Roman" w:eastAsia="宋体" w:cs="Times New Roman"/>
                <w:color w:val="auto"/>
                <w:sz w:val="28"/>
                <w:szCs w:val="28"/>
                <w:vertAlign w:val="baseline"/>
                <w:lang w:val="en-US" w:eastAsia="zh-CN"/>
              </w:rPr>
            </w:pPr>
            <w:r>
              <w:rPr>
                <w:rFonts w:hint="eastAsia" w:ascii="Times New Roman" w:hAnsi="Times New Roman" w:eastAsia="宋体" w:cs="Times New Roman"/>
                <w:color w:val="auto"/>
                <w:sz w:val="28"/>
                <w:szCs w:val="28"/>
                <w:vertAlign w:val="baseline"/>
                <w:lang w:val="en-US" w:eastAsia="zh-CN"/>
              </w:rPr>
              <w:t>更换频率（次/年）</w:t>
            </w:r>
          </w:p>
        </w:tc>
        <w:tc>
          <w:tcPr>
            <w:tcW w:w="1704" w:type="dxa"/>
            <w:vAlign w:val="center"/>
          </w:tcPr>
          <w:p>
            <w:pPr>
              <w:pStyle w:val="2"/>
              <w:keepNext w:val="0"/>
              <w:keepLines w:val="0"/>
              <w:pageBreakBefore w:val="0"/>
              <w:widowControl w:val="0"/>
              <w:kinsoku/>
              <w:wordWrap/>
              <w:overflowPunct/>
              <w:topLinePunct w:val="0"/>
              <w:autoSpaceDE/>
              <w:autoSpaceDN/>
              <w:bidi w:val="0"/>
              <w:adjustRightInd/>
              <w:jc w:val="center"/>
              <w:textAlignment w:val="auto"/>
              <w:rPr>
                <w:rFonts w:hint="default" w:ascii="Times New Roman" w:hAnsi="Times New Roman" w:eastAsia="宋体" w:cs="Times New Roman"/>
                <w:color w:val="auto"/>
                <w:sz w:val="28"/>
                <w:szCs w:val="28"/>
                <w:vertAlign w:val="baseline"/>
                <w:lang w:val="en-US" w:eastAsia="zh-CN"/>
              </w:rPr>
            </w:pPr>
            <w:r>
              <w:rPr>
                <w:rFonts w:hint="eastAsia" w:ascii="Times New Roman" w:hAnsi="Times New Roman" w:eastAsia="宋体" w:cs="Times New Roman"/>
                <w:color w:val="auto"/>
                <w:sz w:val="28"/>
                <w:szCs w:val="28"/>
                <w:vertAlign w:val="baseline"/>
                <w:lang w:val="en-US" w:eastAsia="zh-CN"/>
              </w:rPr>
              <w:t>配件价格（元）</w:t>
            </w:r>
          </w:p>
        </w:tc>
        <w:tc>
          <w:tcPr>
            <w:tcW w:w="1704" w:type="dxa"/>
            <w:vAlign w:val="center"/>
          </w:tcPr>
          <w:p>
            <w:pPr>
              <w:pStyle w:val="2"/>
              <w:keepNext w:val="0"/>
              <w:keepLines w:val="0"/>
              <w:pageBreakBefore w:val="0"/>
              <w:widowControl w:val="0"/>
              <w:kinsoku/>
              <w:wordWrap/>
              <w:overflowPunct/>
              <w:topLinePunct w:val="0"/>
              <w:autoSpaceDE/>
              <w:autoSpaceDN/>
              <w:bidi w:val="0"/>
              <w:adjustRightInd/>
              <w:jc w:val="center"/>
              <w:textAlignment w:val="auto"/>
              <w:rPr>
                <w:rFonts w:hint="default" w:ascii="Times New Roman" w:hAnsi="Times New Roman" w:eastAsia="宋体" w:cs="Times New Roman"/>
                <w:color w:val="auto"/>
                <w:sz w:val="28"/>
                <w:szCs w:val="28"/>
                <w:vertAlign w:val="baseline"/>
                <w:lang w:val="en-US" w:eastAsia="zh-CN"/>
              </w:rPr>
            </w:pPr>
            <w:r>
              <w:rPr>
                <w:rFonts w:hint="eastAsia" w:ascii="Times New Roman" w:hAnsi="Times New Roman" w:eastAsia="宋体" w:cs="Times New Roman"/>
                <w:color w:val="auto"/>
                <w:sz w:val="28"/>
                <w:szCs w:val="28"/>
                <w:vertAlign w:val="baseline"/>
                <w:lang w:val="en-US" w:eastAsia="zh-CN"/>
              </w:rPr>
              <w:t>年合计费用（元）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pPr>
              <w:pStyle w:val="2"/>
              <w:keepNext w:val="0"/>
              <w:keepLines w:val="0"/>
              <w:pageBreakBefore w:val="0"/>
              <w:widowControl w:val="0"/>
              <w:kinsoku/>
              <w:wordWrap/>
              <w:overflowPunct/>
              <w:topLinePunct w:val="0"/>
              <w:autoSpaceDE/>
              <w:autoSpaceDN/>
              <w:bidi w:val="0"/>
              <w:adjustRightInd/>
              <w:jc w:val="center"/>
              <w:textAlignment w:val="auto"/>
              <w:rPr>
                <w:rFonts w:hint="default" w:ascii="Times New Roman" w:hAnsi="Times New Roman" w:eastAsia="宋体" w:cs="Times New Roman"/>
                <w:color w:val="auto"/>
                <w:sz w:val="28"/>
                <w:szCs w:val="28"/>
                <w:vertAlign w:val="baseline"/>
                <w:lang w:val="en-US" w:eastAsia="zh-CN"/>
              </w:rPr>
            </w:pPr>
            <w:r>
              <w:rPr>
                <w:rFonts w:hint="eastAsia" w:ascii="Times New Roman" w:hAnsi="Times New Roman" w:eastAsia="宋体" w:cs="Times New Roman"/>
                <w:color w:val="auto"/>
                <w:sz w:val="28"/>
                <w:szCs w:val="28"/>
                <w:vertAlign w:val="baseline"/>
                <w:lang w:val="en-US" w:eastAsia="zh-CN"/>
              </w:rPr>
              <w:t>1</w:t>
            </w:r>
          </w:p>
        </w:tc>
        <w:tc>
          <w:tcPr>
            <w:tcW w:w="2521" w:type="dxa"/>
          </w:tcPr>
          <w:p>
            <w:pPr>
              <w:pStyle w:val="2"/>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pPr>
              <w:pStyle w:val="2"/>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pPr>
              <w:pStyle w:val="2"/>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pPr>
              <w:pStyle w:val="2"/>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pPr>
              <w:pStyle w:val="2"/>
              <w:keepNext w:val="0"/>
              <w:keepLines w:val="0"/>
              <w:pageBreakBefore w:val="0"/>
              <w:widowControl w:val="0"/>
              <w:kinsoku/>
              <w:wordWrap/>
              <w:overflowPunct/>
              <w:topLinePunct w:val="0"/>
              <w:autoSpaceDE/>
              <w:autoSpaceDN/>
              <w:bidi w:val="0"/>
              <w:adjustRightInd/>
              <w:jc w:val="center"/>
              <w:textAlignment w:val="auto"/>
              <w:rPr>
                <w:rFonts w:hint="default" w:ascii="Times New Roman" w:hAnsi="Times New Roman" w:eastAsia="宋体" w:cs="Times New Roman"/>
                <w:color w:val="auto"/>
                <w:sz w:val="28"/>
                <w:szCs w:val="28"/>
                <w:vertAlign w:val="baseline"/>
                <w:lang w:val="en-US" w:eastAsia="zh-CN"/>
              </w:rPr>
            </w:pPr>
            <w:r>
              <w:rPr>
                <w:rFonts w:hint="eastAsia" w:ascii="Times New Roman" w:hAnsi="Times New Roman" w:eastAsia="宋体" w:cs="Times New Roman"/>
                <w:color w:val="auto"/>
                <w:sz w:val="28"/>
                <w:szCs w:val="28"/>
                <w:vertAlign w:val="baseline"/>
                <w:lang w:val="en-US" w:eastAsia="zh-CN"/>
              </w:rPr>
              <w:t>2</w:t>
            </w:r>
          </w:p>
        </w:tc>
        <w:tc>
          <w:tcPr>
            <w:tcW w:w="2521" w:type="dxa"/>
          </w:tcPr>
          <w:p>
            <w:pPr>
              <w:pStyle w:val="2"/>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pPr>
              <w:pStyle w:val="2"/>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pPr>
              <w:pStyle w:val="2"/>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pPr>
              <w:pStyle w:val="2"/>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pPr>
              <w:pStyle w:val="2"/>
              <w:keepNext w:val="0"/>
              <w:keepLines w:val="0"/>
              <w:pageBreakBefore w:val="0"/>
              <w:widowControl w:val="0"/>
              <w:kinsoku/>
              <w:wordWrap/>
              <w:overflowPunct/>
              <w:topLinePunct w:val="0"/>
              <w:autoSpaceDE/>
              <w:autoSpaceDN/>
              <w:bidi w:val="0"/>
              <w:adjustRightInd/>
              <w:jc w:val="center"/>
              <w:textAlignment w:val="auto"/>
              <w:rPr>
                <w:rFonts w:hint="default" w:ascii="Times New Roman" w:hAnsi="Times New Roman" w:eastAsia="宋体" w:cs="Times New Roman"/>
                <w:color w:val="auto"/>
                <w:sz w:val="28"/>
                <w:szCs w:val="28"/>
                <w:vertAlign w:val="baseline"/>
                <w:lang w:val="en-US" w:eastAsia="zh-CN"/>
              </w:rPr>
            </w:pPr>
            <w:r>
              <w:rPr>
                <w:rFonts w:hint="eastAsia" w:ascii="Times New Roman" w:hAnsi="Times New Roman" w:eastAsia="宋体" w:cs="Times New Roman"/>
                <w:color w:val="auto"/>
                <w:sz w:val="28"/>
                <w:szCs w:val="28"/>
                <w:vertAlign w:val="baseline"/>
                <w:lang w:val="en-US" w:eastAsia="zh-CN"/>
              </w:rPr>
              <w:t>3</w:t>
            </w:r>
          </w:p>
        </w:tc>
        <w:tc>
          <w:tcPr>
            <w:tcW w:w="2521" w:type="dxa"/>
          </w:tcPr>
          <w:p>
            <w:pPr>
              <w:pStyle w:val="2"/>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pPr>
              <w:pStyle w:val="2"/>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pPr>
              <w:pStyle w:val="2"/>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pPr>
              <w:pStyle w:val="2"/>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pPr>
              <w:pStyle w:val="2"/>
              <w:keepNext w:val="0"/>
              <w:keepLines w:val="0"/>
              <w:pageBreakBefore w:val="0"/>
              <w:widowControl w:val="0"/>
              <w:kinsoku/>
              <w:wordWrap/>
              <w:overflowPunct/>
              <w:topLinePunct w:val="0"/>
              <w:autoSpaceDE/>
              <w:autoSpaceDN/>
              <w:bidi w:val="0"/>
              <w:adjustRightInd/>
              <w:jc w:val="center"/>
              <w:textAlignment w:val="auto"/>
              <w:rPr>
                <w:rFonts w:hint="default" w:ascii="Times New Roman" w:hAnsi="Times New Roman" w:eastAsia="宋体" w:cs="Times New Roman"/>
                <w:color w:val="auto"/>
                <w:sz w:val="28"/>
                <w:szCs w:val="28"/>
                <w:vertAlign w:val="baseline"/>
                <w:lang w:val="en-US" w:eastAsia="zh-CN"/>
              </w:rPr>
            </w:pPr>
            <w:r>
              <w:rPr>
                <w:rFonts w:hint="eastAsia" w:ascii="Times New Roman" w:hAnsi="Times New Roman" w:eastAsia="宋体" w:cs="Times New Roman"/>
                <w:color w:val="auto"/>
                <w:sz w:val="28"/>
                <w:szCs w:val="28"/>
                <w:vertAlign w:val="baseline"/>
                <w:lang w:val="en-US" w:eastAsia="zh-CN"/>
              </w:rPr>
              <w:t>4</w:t>
            </w:r>
          </w:p>
        </w:tc>
        <w:tc>
          <w:tcPr>
            <w:tcW w:w="2521" w:type="dxa"/>
          </w:tcPr>
          <w:p>
            <w:pPr>
              <w:pStyle w:val="2"/>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pPr>
              <w:pStyle w:val="2"/>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pPr>
              <w:pStyle w:val="2"/>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pPr>
              <w:pStyle w:val="2"/>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pPr>
              <w:pStyle w:val="2"/>
              <w:keepNext w:val="0"/>
              <w:keepLines w:val="0"/>
              <w:pageBreakBefore w:val="0"/>
              <w:widowControl w:val="0"/>
              <w:kinsoku/>
              <w:wordWrap/>
              <w:overflowPunct/>
              <w:topLinePunct w:val="0"/>
              <w:autoSpaceDE/>
              <w:autoSpaceDN/>
              <w:bidi w:val="0"/>
              <w:adjustRightInd/>
              <w:jc w:val="center"/>
              <w:textAlignment w:val="auto"/>
              <w:rPr>
                <w:rFonts w:hint="default" w:ascii="Times New Roman" w:hAnsi="Times New Roman" w:eastAsia="宋体" w:cs="Times New Roman"/>
                <w:color w:val="auto"/>
                <w:sz w:val="28"/>
                <w:szCs w:val="28"/>
                <w:vertAlign w:val="baseline"/>
                <w:lang w:val="en-US" w:eastAsia="zh-CN"/>
              </w:rPr>
            </w:pPr>
            <w:r>
              <w:rPr>
                <w:rFonts w:hint="eastAsia" w:ascii="微软雅黑" w:hAnsi="微软雅黑" w:eastAsia="微软雅黑" w:cs="微软雅黑"/>
                <w:color w:val="auto"/>
                <w:sz w:val="28"/>
                <w:szCs w:val="28"/>
                <w:vertAlign w:val="baseline"/>
                <w:lang w:val="en-US" w:eastAsia="zh-CN"/>
              </w:rPr>
              <w:t>……</w:t>
            </w:r>
          </w:p>
        </w:tc>
        <w:tc>
          <w:tcPr>
            <w:tcW w:w="2521" w:type="dxa"/>
          </w:tcPr>
          <w:p>
            <w:pPr>
              <w:pStyle w:val="2"/>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pPr>
              <w:pStyle w:val="2"/>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pPr>
              <w:pStyle w:val="2"/>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pPr>
              <w:pStyle w:val="2"/>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pPr>
              <w:pStyle w:val="2"/>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r>
              <w:rPr>
                <w:rFonts w:hint="eastAsia" w:ascii="Times New Roman" w:hAnsi="Times New Roman" w:eastAsia="宋体" w:cs="Times New Roman"/>
                <w:color w:val="auto"/>
                <w:sz w:val="28"/>
                <w:szCs w:val="28"/>
                <w:vertAlign w:val="baseline"/>
                <w:lang w:val="en-US" w:eastAsia="zh-CN"/>
              </w:rPr>
              <w:t>合计</w:t>
            </w:r>
          </w:p>
        </w:tc>
        <w:tc>
          <w:tcPr>
            <w:tcW w:w="2521" w:type="dxa"/>
          </w:tcPr>
          <w:p>
            <w:pPr>
              <w:pStyle w:val="2"/>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pPr>
              <w:pStyle w:val="2"/>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pPr>
              <w:pStyle w:val="2"/>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pPr>
              <w:pStyle w:val="2"/>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r>
    </w:tbl>
    <w:p>
      <w:pPr>
        <w:outlineLvl w:val="1"/>
        <w:rPr>
          <w:rFonts w:hint="default" w:ascii="Times New Roman" w:hAnsi="Times New Roman" w:eastAsia="宋体" w:cs="Times New Roman"/>
          <w:b/>
          <w:bCs/>
          <w:color w:val="C00000"/>
          <w:sz w:val="28"/>
          <w:szCs w:val="28"/>
          <w:lang w:val="en-US" w:eastAsia="zh-CN"/>
        </w:rPr>
      </w:pPr>
      <w:r>
        <w:rPr>
          <w:rFonts w:hint="eastAsia" w:ascii="宋体" w:hAnsi="宋体" w:cs="宋体"/>
          <w:b/>
          <w:bCs/>
          <w:color w:val="C00000"/>
          <w:sz w:val="28"/>
          <w:szCs w:val="28"/>
          <w:lang w:eastAsia="zh-CN"/>
        </w:rPr>
        <w:t>（</w:t>
      </w:r>
      <w:r>
        <w:rPr>
          <w:rFonts w:hint="eastAsia" w:ascii="宋体" w:hAnsi="宋体" w:cs="宋体"/>
          <w:b/>
          <w:bCs/>
          <w:color w:val="C00000"/>
          <w:sz w:val="28"/>
          <w:szCs w:val="28"/>
          <w:lang w:val="en-US" w:eastAsia="zh-CN"/>
        </w:rPr>
        <w:t>备注：此表由供应商填写，作为评标的重要依据。</w:t>
      </w:r>
      <w:r>
        <w:rPr>
          <w:rFonts w:hint="eastAsia" w:ascii="宋体" w:hAnsi="宋体" w:cs="宋体"/>
          <w:b/>
          <w:bCs/>
          <w:color w:val="C00000"/>
          <w:sz w:val="28"/>
          <w:szCs w:val="28"/>
          <w:lang w:eastAsia="zh-CN"/>
        </w:rPr>
        <w:t>）</w:t>
      </w:r>
    </w:p>
    <w:p>
      <w:pPr>
        <w:pStyle w:val="2"/>
        <w:keepNext w:val="0"/>
        <w:keepLines w:val="0"/>
        <w:pageBreakBefore w:val="0"/>
        <w:widowControl w:val="0"/>
        <w:kinsoku/>
        <w:wordWrap/>
        <w:overflowPunct/>
        <w:topLinePunct w:val="0"/>
        <w:autoSpaceDE/>
        <w:autoSpaceDN/>
        <w:bidi w:val="0"/>
        <w:adjustRightInd/>
        <w:ind w:firstLine="560" w:firstLineChars="200"/>
        <w:textAlignment w:val="auto"/>
        <w:outlineLvl w:val="0"/>
        <w:rPr>
          <w:rFonts w:hint="default" w:ascii="Times New Roman" w:hAnsi="Times New Roman" w:eastAsia="宋体" w:cs="Times New Roman"/>
          <w:color w:val="auto"/>
          <w:sz w:val="28"/>
          <w:szCs w:val="28"/>
          <w:lang w:val="en-US" w:eastAsia="zh-CN"/>
        </w:rPr>
      </w:pPr>
      <w:r>
        <w:rPr>
          <w:rFonts w:hint="eastAsia" w:ascii="Times New Roman" w:hAnsi="Times New Roman" w:eastAsia="宋体" w:cs="Times New Roman"/>
          <w:color w:val="auto"/>
          <w:sz w:val="28"/>
          <w:szCs w:val="28"/>
          <w:lang w:val="en-US" w:eastAsia="zh-CN"/>
        </w:rPr>
        <w:t>四、设备和耗材、检验试剂的关系</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7"/>
        <w:gridCol w:w="996"/>
        <w:gridCol w:w="683"/>
        <w:gridCol w:w="839"/>
        <w:gridCol w:w="840"/>
        <w:gridCol w:w="840"/>
        <w:gridCol w:w="849"/>
        <w:gridCol w:w="836"/>
        <w:gridCol w:w="836"/>
        <w:gridCol w:w="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967" w:type="dxa"/>
            <w:vAlign w:val="center"/>
          </w:tcPr>
          <w:p>
            <w:pPr>
              <w:jc w:val="center"/>
              <w:rPr>
                <w:rFonts w:hint="default" w:ascii="宋体" w:hAnsi="宋体" w:eastAsia="宋体" w:cs="宋体"/>
                <w:color w:val="auto"/>
                <w:vertAlign w:val="baseline"/>
                <w:lang w:val="en-US" w:eastAsia="zh-CN"/>
              </w:rPr>
            </w:pPr>
            <w:r>
              <w:rPr>
                <w:rFonts w:hint="eastAsia" w:ascii="宋体" w:hAnsi="宋体" w:cs="宋体"/>
                <w:color w:val="auto"/>
                <w:vertAlign w:val="baseline"/>
                <w:lang w:val="en-US" w:eastAsia="zh-CN"/>
              </w:rPr>
              <w:t>设备名称</w:t>
            </w:r>
          </w:p>
        </w:tc>
        <w:tc>
          <w:tcPr>
            <w:tcW w:w="996" w:type="dxa"/>
            <w:vAlign w:val="center"/>
          </w:tcPr>
          <w:p>
            <w:pPr>
              <w:jc w:val="center"/>
              <w:rPr>
                <w:rFonts w:hint="default" w:ascii="宋体" w:hAnsi="宋体" w:eastAsia="宋体" w:cs="宋体"/>
                <w:color w:val="auto"/>
                <w:vertAlign w:val="baseline"/>
                <w:lang w:val="en-US" w:eastAsia="zh-CN"/>
              </w:rPr>
            </w:pPr>
            <w:r>
              <w:rPr>
                <w:rFonts w:hint="eastAsia" w:ascii="宋体" w:hAnsi="宋体" w:cs="宋体"/>
                <w:color w:val="auto"/>
                <w:vertAlign w:val="baseline"/>
                <w:lang w:val="en-US" w:eastAsia="zh-CN"/>
              </w:rPr>
              <w:t>设备单价（元）</w:t>
            </w:r>
          </w:p>
        </w:tc>
        <w:tc>
          <w:tcPr>
            <w:tcW w:w="683" w:type="dxa"/>
            <w:vAlign w:val="center"/>
          </w:tcPr>
          <w:p>
            <w:pPr>
              <w:jc w:val="center"/>
              <w:rPr>
                <w:rFonts w:hint="default" w:ascii="宋体" w:hAnsi="宋体" w:eastAsia="宋体" w:cs="宋体"/>
                <w:color w:val="auto"/>
                <w:vertAlign w:val="baseline"/>
                <w:lang w:val="en-US" w:eastAsia="zh-CN"/>
              </w:rPr>
            </w:pPr>
            <w:r>
              <w:rPr>
                <w:rFonts w:hint="eastAsia" w:ascii="宋体" w:hAnsi="宋体" w:cs="宋体"/>
                <w:color w:val="auto"/>
                <w:vertAlign w:val="baseline"/>
                <w:lang w:val="en-US" w:eastAsia="zh-CN"/>
              </w:rPr>
              <w:t>国产/进口</w:t>
            </w:r>
          </w:p>
        </w:tc>
        <w:tc>
          <w:tcPr>
            <w:tcW w:w="839" w:type="dxa"/>
            <w:vAlign w:val="center"/>
          </w:tcPr>
          <w:p>
            <w:pPr>
              <w:jc w:val="center"/>
              <w:rPr>
                <w:rFonts w:hint="default" w:ascii="宋体" w:hAnsi="宋体" w:eastAsia="宋体" w:cs="宋体"/>
                <w:color w:val="auto"/>
                <w:vertAlign w:val="baseline"/>
                <w:lang w:val="en-US" w:eastAsia="zh-CN"/>
              </w:rPr>
            </w:pPr>
            <w:r>
              <w:rPr>
                <w:rFonts w:hint="eastAsia" w:ascii="宋体" w:hAnsi="宋体" w:cs="宋体"/>
                <w:color w:val="auto"/>
                <w:vertAlign w:val="baseline"/>
                <w:lang w:val="en-US" w:eastAsia="zh-CN"/>
              </w:rPr>
              <w:t>是否专机专用耗材</w:t>
            </w:r>
          </w:p>
        </w:tc>
        <w:tc>
          <w:tcPr>
            <w:tcW w:w="840" w:type="dxa"/>
            <w:vAlign w:val="center"/>
          </w:tcPr>
          <w:p>
            <w:pPr>
              <w:jc w:val="center"/>
              <w:rPr>
                <w:rFonts w:hint="default" w:ascii="宋体" w:hAnsi="宋体" w:eastAsia="宋体" w:cs="宋体"/>
                <w:color w:val="auto"/>
                <w:vertAlign w:val="baseline"/>
                <w:lang w:val="en-US" w:eastAsia="zh-CN"/>
              </w:rPr>
            </w:pPr>
            <w:r>
              <w:rPr>
                <w:rFonts w:hint="eastAsia" w:ascii="宋体" w:hAnsi="宋体" w:cs="宋体"/>
                <w:color w:val="auto"/>
                <w:vertAlign w:val="baseline"/>
                <w:lang w:val="en-US" w:eastAsia="zh-CN"/>
              </w:rPr>
              <w:t>耗材品牌</w:t>
            </w:r>
          </w:p>
        </w:tc>
        <w:tc>
          <w:tcPr>
            <w:tcW w:w="840" w:type="dxa"/>
            <w:vAlign w:val="center"/>
          </w:tcPr>
          <w:p>
            <w:pPr>
              <w:jc w:val="center"/>
              <w:rPr>
                <w:rFonts w:hint="eastAsia" w:ascii="宋体" w:hAnsi="宋体" w:eastAsia="宋体" w:cs="宋体"/>
                <w:color w:val="auto"/>
                <w:vertAlign w:val="baseline"/>
              </w:rPr>
            </w:pPr>
            <w:r>
              <w:rPr>
                <w:rFonts w:hint="eastAsia" w:ascii="宋体" w:hAnsi="宋体" w:cs="宋体"/>
                <w:color w:val="auto"/>
                <w:vertAlign w:val="baseline"/>
                <w:lang w:val="en-US" w:eastAsia="zh-CN"/>
              </w:rPr>
              <w:t>耗材名称</w:t>
            </w:r>
          </w:p>
        </w:tc>
        <w:tc>
          <w:tcPr>
            <w:tcW w:w="849" w:type="dxa"/>
            <w:vAlign w:val="center"/>
          </w:tcPr>
          <w:p>
            <w:pPr>
              <w:jc w:val="both"/>
              <w:rPr>
                <w:rFonts w:hint="default" w:ascii="宋体" w:hAnsi="宋体" w:eastAsia="宋体" w:cs="宋体"/>
                <w:color w:val="auto"/>
                <w:vertAlign w:val="baseline"/>
                <w:lang w:val="en-US" w:eastAsia="zh-CN"/>
              </w:rPr>
            </w:pPr>
            <w:r>
              <w:rPr>
                <w:rFonts w:hint="eastAsia" w:ascii="宋体" w:hAnsi="宋体" w:cs="宋体"/>
                <w:color w:val="auto"/>
                <w:vertAlign w:val="baseline"/>
                <w:lang w:val="en-US" w:eastAsia="zh-CN"/>
              </w:rPr>
              <w:t>集采/阳光网</w:t>
            </w:r>
          </w:p>
        </w:tc>
        <w:tc>
          <w:tcPr>
            <w:tcW w:w="836" w:type="dxa"/>
            <w:vAlign w:val="center"/>
          </w:tcPr>
          <w:p>
            <w:pPr>
              <w:jc w:val="center"/>
              <w:rPr>
                <w:rFonts w:hint="eastAsia" w:ascii="宋体" w:hAnsi="宋体" w:cs="宋体"/>
                <w:color w:val="auto"/>
                <w:vertAlign w:val="baseline"/>
                <w:lang w:val="en-US" w:eastAsia="zh-CN"/>
              </w:rPr>
            </w:pPr>
            <w:r>
              <w:rPr>
                <w:rFonts w:hint="eastAsia" w:ascii="宋体" w:hAnsi="宋体" w:cs="宋体"/>
                <w:color w:val="auto"/>
                <w:vertAlign w:val="baseline"/>
                <w:lang w:val="en-US" w:eastAsia="zh-CN"/>
              </w:rPr>
              <w:t>集采价格</w:t>
            </w:r>
          </w:p>
        </w:tc>
        <w:tc>
          <w:tcPr>
            <w:tcW w:w="836" w:type="dxa"/>
            <w:vAlign w:val="center"/>
          </w:tcPr>
          <w:p>
            <w:pPr>
              <w:jc w:val="center"/>
              <w:rPr>
                <w:rFonts w:hint="default" w:ascii="宋体" w:hAnsi="宋体" w:cs="宋体"/>
                <w:color w:val="auto"/>
                <w:vertAlign w:val="baseline"/>
                <w:lang w:val="en-US" w:eastAsia="zh-CN"/>
              </w:rPr>
            </w:pPr>
            <w:r>
              <w:rPr>
                <w:rFonts w:hint="eastAsia" w:ascii="宋体" w:hAnsi="宋体" w:cs="宋体"/>
                <w:color w:val="auto"/>
                <w:vertAlign w:val="baseline"/>
                <w:lang w:val="en-US" w:eastAsia="zh-CN"/>
              </w:rPr>
              <w:t>阳光网价格</w:t>
            </w:r>
          </w:p>
        </w:tc>
        <w:tc>
          <w:tcPr>
            <w:tcW w:w="836" w:type="dxa"/>
            <w:vAlign w:val="center"/>
          </w:tcPr>
          <w:p>
            <w:pPr>
              <w:jc w:val="center"/>
              <w:rPr>
                <w:rFonts w:hint="eastAsia" w:ascii="宋体" w:hAnsi="宋体" w:cs="宋体"/>
                <w:color w:val="auto"/>
                <w:vertAlign w:val="baseline"/>
                <w:lang w:val="en-US" w:eastAsia="zh-CN"/>
              </w:rPr>
            </w:pPr>
            <w:r>
              <w:rPr>
                <w:rFonts w:hint="eastAsia" w:ascii="宋体" w:hAnsi="宋体" w:cs="宋体"/>
                <w:color w:val="auto"/>
                <w:vertAlign w:val="baseline"/>
                <w:lang w:val="en-US" w:eastAsia="zh-CN"/>
              </w:rPr>
              <w:t>阳光网成交价格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967" w:type="dxa"/>
            <w:vAlign w:val="center"/>
          </w:tcPr>
          <w:p>
            <w:pPr>
              <w:rPr>
                <w:rFonts w:hint="eastAsia" w:ascii="宋体" w:hAnsi="宋体" w:eastAsia="宋体" w:cs="宋体"/>
                <w:color w:val="auto"/>
                <w:vertAlign w:val="baseline"/>
              </w:rPr>
            </w:pPr>
          </w:p>
        </w:tc>
        <w:tc>
          <w:tcPr>
            <w:tcW w:w="996" w:type="dxa"/>
            <w:vAlign w:val="center"/>
          </w:tcPr>
          <w:p>
            <w:pPr>
              <w:rPr>
                <w:rFonts w:hint="eastAsia" w:ascii="宋体" w:hAnsi="宋体" w:eastAsia="宋体" w:cs="宋体"/>
                <w:color w:val="auto"/>
                <w:vertAlign w:val="baseline"/>
              </w:rPr>
            </w:pPr>
          </w:p>
        </w:tc>
        <w:tc>
          <w:tcPr>
            <w:tcW w:w="683" w:type="dxa"/>
            <w:vAlign w:val="center"/>
          </w:tcPr>
          <w:p>
            <w:pPr>
              <w:rPr>
                <w:rFonts w:hint="eastAsia" w:ascii="宋体" w:hAnsi="宋体" w:eastAsia="宋体" w:cs="宋体"/>
                <w:color w:val="auto"/>
                <w:vertAlign w:val="baseline"/>
              </w:rPr>
            </w:pPr>
          </w:p>
        </w:tc>
        <w:tc>
          <w:tcPr>
            <w:tcW w:w="839" w:type="dxa"/>
            <w:vAlign w:val="center"/>
          </w:tcPr>
          <w:p>
            <w:pPr>
              <w:rPr>
                <w:rFonts w:hint="eastAsia" w:ascii="宋体" w:hAnsi="宋体" w:eastAsia="宋体" w:cs="宋体"/>
                <w:color w:val="auto"/>
                <w:vertAlign w:val="baseline"/>
              </w:rPr>
            </w:pPr>
          </w:p>
        </w:tc>
        <w:tc>
          <w:tcPr>
            <w:tcW w:w="840" w:type="dxa"/>
            <w:vAlign w:val="center"/>
          </w:tcPr>
          <w:p>
            <w:pPr>
              <w:rPr>
                <w:rFonts w:hint="eastAsia" w:ascii="宋体" w:hAnsi="宋体" w:eastAsia="宋体" w:cs="宋体"/>
                <w:color w:val="auto"/>
                <w:vertAlign w:val="baseline"/>
              </w:rPr>
            </w:pPr>
          </w:p>
        </w:tc>
        <w:tc>
          <w:tcPr>
            <w:tcW w:w="840" w:type="dxa"/>
            <w:vAlign w:val="center"/>
          </w:tcPr>
          <w:p>
            <w:pPr>
              <w:rPr>
                <w:rFonts w:hint="eastAsia" w:ascii="宋体" w:hAnsi="宋体" w:eastAsia="宋体" w:cs="宋体"/>
                <w:color w:val="auto"/>
                <w:vertAlign w:val="baseline"/>
              </w:rPr>
            </w:pPr>
          </w:p>
        </w:tc>
        <w:tc>
          <w:tcPr>
            <w:tcW w:w="849" w:type="dxa"/>
            <w:vAlign w:val="center"/>
          </w:tcPr>
          <w:p>
            <w:pPr>
              <w:rPr>
                <w:rFonts w:hint="eastAsia" w:ascii="宋体" w:hAnsi="宋体" w:eastAsia="宋体" w:cs="宋体"/>
                <w:color w:val="auto"/>
                <w:vertAlign w:val="baseline"/>
              </w:rPr>
            </w:pPr>
          </w:p>
        </w:tc>
        <w:tc>
          <w:tcPr>
            <w:tcW w:w="836" w:type="dxa"/>
            <w:vAlign w:val="center"/>
          </w:tcPr>
          <w:p>
            <w:pPr>
              <w:rPr>
                <w:rFonts w:hint="eastAsia" w:ascii="宋体" w:hAnsi="宋体" w:eastAsia="宋体" w:cs="宋体"/>
                <w:color w:val="auto"/>
                <w:vertAlign w:val="baseline"/>
              </w:rPr>
            </w:pPr>
          </w:p>
        </w:tc>
        <w:tc>
          <w:tcPr>
            <w:tcW w:w="836" w:type="dxa"/>
            <w:vAlign w:val="center"/>
          </w:tcPr>
          <w:p>
            <w:pPr>
              <w:rPr>
                <w:rFonts w:hint="eastAsia" w:ascii="宋体" w:hAnsi="宋体" w:eastAsia="宋体" w:cs="宋体"/>
                <w:color w:val="auto"/>
                <w:vertAlign w:val="baseline"/>
              </w:rPr>
            </w:pPr>
          </w:p>
        </w:tc>
        <w:tc>
          <w:tcPr>
            <w:tcW w:w="836" w:type="dxa"/>
            <w:vAlign w:val="center"/>
          </w:tcPr>
          <w:p>
            <w:pPr>
              <w:rPr>
                <w:rFonts w:hint="eastAsia" w:ascii="宋体" w:hAnsi="宋体" w:eastAsia="宋体" w:cs="宋体"/>
                <w:color w:val="auto"/>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967" w:type="dxa"/>
            <w:vAlign w:val="center"/>
          </w:tcPr>
          <w:p>
            <w:pPr>
              <w:rPr>
                <w:rFonts w:hint="eastAsia" w:ascii="宋体" w:hAnsi="宋体" w:eastAsia="宋体" w:cs="宋体"/>
                <w:color w:val="auto"/>
                <w:vertAlign w:val="baseline"/>
              </w:rPr>
            </w:pPr>
          </w:p>
        </w:tc>
        <w:tc>
          <w:tcPr>
            <w:tcW w:w="996" w:type="dxa"/>
            <w:vAlign w:val="center"/>
          </w:tcPr>
          <w:p>
            <w:pPr>
              <w:rPr>
                <w:rFonts w:hint="eastAsia" w:ascii="宋体" w:hAnsi="宋体" w:eastAsia="宋体" w:cs="宋体"/>
                <w:color w:val="auto"/>
                <w:vertAlign w:val="baseline"/>
              </w:rPr>
            </w:pPr>
          </w:p>
        </w:tc>
        <w:tc>
          <w:tcPr>
            <w:tcW w:w="683" w:type="dxa"/>
            <w:vAlign w:val="center"/>
          </w:tcPr>
          <w:p>
            <w:pPr>
              <w:rPr>
                <w:rFonts w:hint="eastAsia" w:ascii="宋体" w:hAnsi="宋体" w:eastAsia="宋体" w:cs="宋体"/>
                <w:color w:val="auto"/>
                <w:vertAlign w:val="baseline"/>
              </w:rPr>
            </w:pPr>
          </w:p>
        </w:tc>
        <w:tc>
          <w:tcPr>
            <w:tcW w:w="839" w:type="dxa"/>
            <w:vAlign w:val="center"/>
          </w:tcPr>
          <w:p>
            <w:pPr>
              <w:rPr>
                <w:rFonts w:hint="eastAsia" w:ascii="宋体" w:hAnsi="宋体" w:eastAsia="宋体" w:cs="宋体"/>
                <w:color w:val="auto"/>
                <w:vertAlign w:val="baseline"/>
              </w:rPr>
            </w:pPr>
          </w:p>
        </w:tc>
        <w:tc>
          <w:tcPr>
            <w:tcW w:w="840" w:type="dxa"/>
            <w:vAlign w:val="center"/>
          </w:tcPr>
          <w:p>
            <w:pPr>
              <w:rPr>
                <w:rFonts w:hint="eastAsia" w:ascii="宋体" w:hAnsi="宋体" w:eastAsia="宋体" w:cs="宋体"/>
                <w:color w:val="auto"/>
                <w:vertAlign w:val="baseline"/>
              </w:rPr>
            </w:pPr>
          </w:p>
        </w:tc>
        <w:tc>
          <w:tcPr>
            <w:tcW w:w="840" w:type="dxa"/>
            <w:vAlign w:val="center"/>
          </w:tcPr>
          <w:p>
            <w:pPr>
              <w:rPr>
                <w:rFonts w:hint="eastAsia" w:ascii="宋体" w:hAnsi="宋体" w:eastAsia="宋体" w:cs="宋体"/>
                <w:color w:val="auto"/>
                <w:vertAlign w:val="baseline"/>
              </w:rPr>
            </w:pPr>
          </w:p>
        </w:tc>
        <w:tc>
          <w:tcPr>
            <w:tcW w:w="849" w:type="dxa"/>
            <w:vAlign w:val="center"/>
          </w:tcPr>
          <w:p>
            <w:pPr>
              <w:rPr>
                <w:rFonts w:hint="eastAsia" w:ascii="宋体" w:hAnsi="宋体" w:eastAsia="宋体" w:cs="宋体"/>
                <w:color w:val="auto"/>
                <w:vertAlign w:val="baseline"/>
              </w:rPr>
            </w:pPr>
          </w:p>
        </w:tc>
        <w:tc>
          <w:tcPr>
            <w:tcW w:w="836" w:type="dxa"/>
            <w:vAlign w:val="center"/>
          </w:tcPr>
          <w:p>
            <w:pPr>
              <w:rPr>
                <w:rFonts w:hint="eastAsia" w:ascii="宋体" w:hAnsi="宋体" w:eastAsia="宋体" w:cs="宋体"/>
                <w:color w:val="auto"/>
                <w:vertAlign w:val="baseline"/>
              </w:rPr>
            </w:pPr>
          </w:p>
        </w:tc>
        <w:tc>
          <w:tcPr>
            <w:tcW w:w="836" w:type="dxa"/>
            <w:vAlign w:val="center"/>
          </w:tcPr>
          <w:p>
            <w:pPr>
              <w:rPr>
                <w:rFonts w:hint="eastAsia" w:ascii="宋体" w:hAnsi="宋体" w:eastAsia="宋体" w:cs="宋体"/>
                <w:color w:val="auto"/>
                <w:vertAlign w:val="baseline"/>
              </w:rPr>
            </w:pPr>
          </w:p>
        </w:tc>
        <w:tc>
          <w:tcPr>
            <w:tcW w:w="836" w:type="dxa"/>
            <w:vAlign w:val="center"/>
          </w:tcPr>
          <w:p>
            <w:pPr>
              <w:rPr>
                <w:rFonts w:hint="eastAsia" w:ascii="宋体" w:hAnsi="宋体" w:eastAsia="宋体" w:cs="宋体"/>
                <w:color w:val="auto"/>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967" w:type="dxa"/>
            <w:vAlign w:val="center"/>
          </w:tcPr>
          <w:p>
            <w:pPr>
              <w:rPr>
                <w:rFonts w:hint="eastAsia" w:ascii="宋体" w:hAnsi="宋体" w:eastAsia="宋体" w:cs="宋体"/>
                <w:color w:val="auto"/>
                <w:vertAlign w:val="baseline"/>
              </w:rPr>
            </w:pPr>
          </w:p>
        </w:tc>
        <w:tc>
          <w:tcPr>
            <w:tcW w:w="996" w:type="dxa"/>
            <w:vAlign w:val="center"/>
          </w:tcPr>
          <w:p>
            <w:pPr>
              <w:rPr>
                <w:rFonts w:hint="eastAsia" w:ascii="宋体" w:hAnsi="宋体" w:eastAsia="宋体" w:cs="宋体"/>
                <w:color w:val="auto"/>
                <w:vertAlign w:val="baseline"/>
              </w:rPr>
            </w:pPr>
          </w:p>
        </w:tc>
        <w:tc>
          <w:tcPr>
            <w:tcW w:w="683" w:type="dxa"/>
            <w:vAlign w:val="center"/>
          </w:tcPr>
          <w:p>
            <w:pPr>
              <w:rPr>
                <w:rFonts w:hint="eastAsia" w:ascii="宋体" w:hAnsi="宋体" w:eastAsia="宋体" w:cs="宋体"/>
                <w:color w:val="auto"/>
                <w:vertAlign w:val="baseline"/>
              </w:rPr>
            </w:pPr>
          </w:p>
        </w:tc>
        <w:tc>
          <w:tcPr>
            <w:tcW w:w="839" w:type="dxa"/>
            <w:vAlign w:val="center"/>
          </w:tcPr>
          <w:p>
            <w:pPr>
              <w:rPr>
                <w:rFonts w:hint="eastAsia" w:ascii="宋体" w:hAnsi="宋体" w:eastAsia="宋体" w:cs="宋体"/>
                <w:color w:val="auto"/>
                <w:vertAlign w:val="baseline"/>
              </w:rPr>
            </w:pPr>
          </w:p>
        </w:tc>
        <w:tc>
          <w:tcPr>
            <w:tcW w:w="840" w:type="dxa"/>
            <w:vAlign w:val="center"/>
          </w:tcPr>
          <w:p>
            <w:pPr>
              <w:rPr>
                <w:rFonts w:hint="eastAsia" w:ascii="宋体" w:hAnsi="宋体" w:eastAsia="宋体" w:cs="宋体"/>
                <w:color w:val="auto"/>
                <w:vertAlign w:val="baseline"/>
              </w:rPr>
            </w:pPr>
          </w:p>
        </w:tc>
        <w:tc>
          <w:tcPr>
            <w:tcW w:w="840" w:type="dxa"/>
            <w:vAlign w:val="center"/>
          </w:tcPr>
          <w:p>
            <w:pPr>
              <w:rPr>
                <w:rFonts w:hint="eastAsia" w:ascii="宋体" w:hAnsi="宋体" w:eastAsia="宋体" w:cs="宋体"/>
                <w:color w:val="auto"/>
                <w:vertAlign w:val="baseline"/>
              </w:rPr>
            </w:pPr>
          </w:p>
        </w:tc>
        <w:tc>
          <w:tcPr>
            <w:tcW w:w="849" w:type="dxa"/>
            <w:vAlign w:val="center"/>
          </w:tcPr>
          <w:p>
            <w:pPr>
              <w:rPr>
                <w:rFonts w:hint="eastAsia" w:ascii="宋体" w:hAnsi="宋体" w:eastAsia="宋体" w:cs="宋体"/>
                <w:color w:val="auto"/>
                <w:vertAlign w:val="baseline"/>
              </w:rPr>
            </w:pPr>
          </w:p>
        </w:tc>
        <w:tc>
          <w:tcPr>
            <w:tcW w:w="836" w:type="dxa"/>
            <w:vAlign w:val="center"/>
          </w:tcPr>
          <w:p>
            <w:pPr>
              <w:rPr>
                <w:rFonts w:hint="eastAsia" w:ascii="宋体" w:hAnsi="宋体" w:eastAsia="宋体" w:cs="宋体"/>
                <w:color w:val="auto"/>
                <w:vertAlign w:val="baseline"/>
              </w:rPr>
            </w:pPr>
          </w:p>
        </w:tc>
        <w:tc>
          <w:tcPr>
            <w:tcW w:w="836" w:type="dxa"/>
            <w:vAlign w:val="center"/>
          </w:tcPr>
          <w:p>
            <w:pPr>
              <w:rPr>
                <w:rFonts w:hint="eastAsia" w:ascii="宋体" w:hAnsi="宋体" w:eastAsia="宋体" w:cs="宋体"/>
                <w:color w:val="auto"/>
                <w:vertAlign w:val="baseline"/>
              </w:rPr>
            </w:pPr>
          </w:p>
        </w:tc>
        <w:tc>
          <w:tcPr>
            <w:tcW w:w="836" w:type="dxa"/>
            <w:vAlign w:val="center"/>
          </w:tcPr>
          <w:p>
            <w:pPr>
              <w:rPr>
                <w:rFonts w:hint="eastAsia" w:ascii="宋体" w:hAnsi="宋体" w:eastAsia="宋体" w:cs="宋体"/>
                <w:color w:val="auto"/>
                <w:vertAlign w:val="baseline"/>
              </w:rPr>
            </w:pPr>
          </w:p>
        </w:tc>
      </w:tr>
    </w:tbl>
    <w:p>
      <w:pPr>
        <w:outlineLvl w:val="1"/>
        <w:rPr>
          <w:rFonts w:hint="eastAsia" w:ascii="宋体" w:hAnsi="宋体" w:eastAsia="宋体" w:cs="宋体"/>
          <w:color w:val="auto"/>
          <w:lang w:eastAsia="zh-CN"/>
        </w:rPr>
      </w:pPr>
      <w:r>
        <w:rPr>
          <w:rFonts w:hint="eastAsia" w:ascii="宋体" w:hAnsi="宋体" w:eastAsia="宋体" w:cs="宋体"/>
          <w:b/>
          <w:bCs/>
          <w:color w:val="C00000"/>
          <w:sz w:val="28"/>
          <w:szCs w:val="28"/>
          <w:lang w:val="en-US" w:eastAsia="zh-CN"/>
        </w:rPr>
        <w:t>（备注：此表由供应商填写，作为评标的重要依据。</w:t>
      </w:r>
      <w:r>
        <w:rPr>
          <w:rFonts w:hint="eastAsia" w:ascii="宋体" w:hAnsi="宋体" w:eastAsia="宋体" w:cs="宋体"/>
          <w:b/>
          <w:bCs/>
          <w:color w:val="C00000"/>
          <w:sz w:val="28"/>
          <w:szCs w:val="28"/>
          <w:lang w:eastAsia="zh-CN"/>
        </w:rPr>
        <w:t>）</w:t>
      </w:r>
    </w:p>
    <w:p>
      <w:pPr>
        <w:spacing w:line="480" w:lineRule="auto"/>
        <w:ind w:firstLine="5783" w:firstLineChars="2400"/>
        <w:outlineLvl w:val="0"/>
        <w:rPr>
          <w:rFonts w:hint="eastAsia"/>
          <w:b/>
          <w:bCs/>
          <w:sz w:val="24"/>
          <w:szCs w:val="24"/>
          <w:lang w:val="en-US" w:eastAsia="zh-CN"/>
        </w:rPr>
      </w:pPr>
      <w:r>
        <w:rPr>
          <w:rFonts w:hint="eastAsia"/>
          <w:b/>
          <w:bCs/>
          <w:sz w:val="24"/>
          <w:szCs w:val="24"/>
          <w:lang w:val="en-US" w:eastAsia="zh-CN"/>
        </w:rPr>
        <w:t>科主任签名：</w:t>
      </w:r>
    </w:p>
    <w:p>
      <w:pPr>
        <w:keepNext w:val="0"/>
        <w:keepLines w:val="0"/>
        <w:pageBreakBefore w:val="0"/>
        <w:widowControl w:val="0"/>
        <w:kinsoku/>
        <w:wordWrap/>
        <w:overflowPunct/>
        <w:topLinePunct w:val="0"/>
        <w:autoSpaceDE/>
        <w:autoSpaceDN/>
        <w:bidi w:val="0"/>
        <w:adjustRightInd/>
        <w:snapToGrid/>
        <w:spacing w:afterAutospacing="0" w:line="480" w:lineRule="auto"/>
        <w:textAlignment w:val="auto"/>
        <w:outlineLvl w:val="0"/>
        <w:rPr>
          <w:rFonts w:hint="default"/>
          <w:lang w:val="en-US" w:eastAsia="zh-CN"/>
        </w:rPr>
      </w:pPr>
      <w:r>
        <w:rPr>
          <w:rFonts w:hint="default" w:ascii="宋体" w:hAnsi="宋体"/>
          <w:sz w:val="24"/>
          <w:szCs w:val="24"/>
          <w:lang w:val="en-US" w:eastAsia="zh-CN"/>
        </w:rPr>
        <w:t xml:space="preserve">                                                </w:t>
      </w:r>
      <w:r>
        <w:rPr>
          <w:rFonts w:hint="eastAsia" w:ascii="宋体" w:hAnsi="宋体" w:eastAsia="宋体"/>
          <w:sz w:val="24"/>
          <w:szCs w:val="24"/>
        </w:rPr>
        <w:t>202</w:t>
      </w:r>
      <w:r>
        <w:rPr>
          <w:rFonts w:hint="eastAsia" w:ascii="宋体" w:hAnsi="宋体"/>
          <w:sz w:val="24"/>
          <w:szCs w:val="24"/>
          <w:lang w:val="en-US" w:eastAsia="zh-CN"/>
        </w:rPr>
        <w:t>5</w:t>
      </w:r>
      <w:r>
        <w:rPr>
          <w:rFonts w:hint="eastAsia" w:ascii="宋体" w:hAnsi="宋体" w:eastAsia="宋体"/>
          <w:sz w:val="24"/>
          <w:szCs w:val="24"/>
        </w:rPr>
        <w:t>年</w:t>
      </w:r>
      <w:r>
        <w:rPr>
          <w:rFonts w:hint="eastAsia" w:ascii="宋体" w:hAnsi="宋体"/>
          <w:sz w:val="24"/>
          <w:szCs w:val="24"/>
          <w:lang w:val="en-US" w:eastAsia="zh-CN"/>
        </w:rPr>
        <w:t>10</w:t>
      </w:r>
      <w:r>
        <w:rPr>
          <w:rFonts w:hint="eastAsia" w:ascii="宋体" w:hAnsi="宋体" w:eastAsia="宋体"/>
          <w:sz w:val="24"/>
          <w:szCs w:val="24"/>
        </w:rPr>
        <w:t>月</w:t>
      </w:r>
      <w:r>
        <w:rPr>
          <w:rFonts w:hint="eastAsia" w:ascii="宋体" w:hAnsi="宋体"/>
          <w:sz w:val="24"/>
          <w:szCs w:val="24"/>
          <w:lang w:val="en-US" w:eastAsia="zh-CN"/>
        </w:rPr>
        <w:t>15</w:t>
      </w:r>
      <w:r>
        <w:rPr>
          <w:rFonts w:hint="eastAsia" w:ascii="宋体" w:hAnsi="宋体" w:eastAsia="宋体"/>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UyNDI3YmY5ZjZhYjI0YzA4YzI0N2E1MGMzYjc2MmIifQ=="/>
  </w:docVars>
  <w:rsids>
    <w:rsidRoot w:val="78887C68"/>
    <w:rsid w:val="061234CA"/>
    <w:rsid w:val="0EC02A0A"/>
    <w:rsid w:val="115245F6"/>
    <w:rsid w:val="1297083D"/>
    <w:rsid w:val="15CB47CA"/>
    <w:rsid w:val="181A3A94"/>
    <w:rsid w:val="189369D2"/>
    <w:rsid w:val="3F6D7802"/>
    <w:rsid w:val="4246427A"/>
    <w:rsid w:val="4C0E4FC1"/>
    <w:rsid w:val="5199670C"/>
    <w:rsid w:val="539F1B70"/>
    <w:rsid w:val="54517BA3"/>
    <w:rsid w:val="61451ED2"/>
    <w:rsid w:val="63C73832"/>
    <w:rsid w:val="69F0140A"/>
    <w:rsid w:val="6BE86DA9"/>
    <w:rsid w:val="75FC61D3"/>
    <w:rsid w:val="76A719F0"/>
    <w:rsid w:val="78887C68"/>
    <w:rsid w:val="7F497E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15"/>
      <w:szCs w:val="15"/>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pPr>
      <w:jc w:val="left"/>
    </w:pPr>
    <w:rPr>
      <w:rFonts w:ascii="Courier New" w:hAnsi="Courier New" w:cs="Courier New"/>
      <w:sz w:val="20"/>
      <w:szCs w:val="20"/>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421</Words>
  <Characters>442</Characters>
  <Lines>0</Lines>
  <Paragraphs>0</Paragraphs>
  <TotalTime>3</TotalTime>
  <ScaleCrop>false</ScaleCrop>
  <LinksUpToDate>false</LinksUpToDate>
  <CharactersWithSpaces>490</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2023-02-28T14:58:00Z</dcterms:created>
  <dc:creator>张军</dc:creator>
  <cp:lastModifiedBy>张军</cp:lastModifiedBy>
  <dcterms:modified xsi:type="dcterms:W3CDTF">2025-12-11T10:05:32Z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y fmtid="{D5CDD505-2E9C-101B-9397-08002B2CF9AE}" pid="3" name="ICV">
    <vt:lpwstr>6668BED0071C438BBCE920AEC2911E36</vt:lpwstr>
  </property>
  <property fmtid="{D5CDD505-2E9C-101B-9397-08002B2CF9AE}" pid="4" name="KSOTemplateDocerSaveRecord">
    <vt:lpwstr>eyJoZGlkIjoiZjUyNDI3YmY5ZjZhYjI0YzA4YzI0N2E1MGMzYjc2MmIiLCJ1c2VySWQiOiIyNTgxOTczNDcifQ==</vt:lpwstr>
  </property>
</Properties>
</file>