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医用低温离心机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用途：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糖尿病足溃疡、压疮、烧伤、植皮区加速愈合，减少感染率</w:t>
            </w:r>
          </w:p>
          <w:p>
            <w:pPr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使用人群：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慢性创面患者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一</w:t>
            </w:r>
            <w:r>
              <w:rPr>
                <w:rFonts w:hint="eastAsia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转速与离心力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最高转速：常规机型 ≥4 000 r/min，高速冷冻机型 ≥20 000 r/min；偏差 ≤±10 r/min 或 ≤±1 %。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最大相对离心力（RCF）：低速 ≥3 400 ×g，高速 ≥26 000 ×g；需具备 RCF 实时换算与设定功能。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二、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低温系统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设定范围：‑20 ℃～+40 ℃；显示精度 ≤±1 ℃，波动度 ≤±2 ℃。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降温性能：20 ℃→4 ℃ 预冷时间 ≤20 min；满载最高转速下腔体仍可保持 4 ℃。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制冷方式：品牌无氟压缩机组，一键预冷；支持连续运转冷凝水收集，防止腐蚀。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四、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运行与程序功能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升降速：≥10 档加速/刹车曲线可选；软启动、停机防回荡，避免样品重悬。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定时：1–99 min59 s，数字定时相对偏差 ≤±1 % 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瞬时离心（Pulse）和梯度离心程序；可编程并储存 ≥10 组用户程序。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运行中可不停机修改转速、离心力、时间等参数，并记忆最后一次运行条件。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五、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安全与合规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电子门锁 + 机械应急开锁；双锁钩设计，停电仍可开门。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不平衡、超速、超温、开盖自动停机；陀螺仪或传感器实时失衡监控。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整机噪音 ≤55–65 dB(A)，振幅≤对应标准限值。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电气安全符合 GB 4793.1/4793.7，具备生物安全密封转子，防止气溶胶外泄。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六、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结构与操作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金属机箱、不锈钢离心腔、铜/钢制保护套；可高温高压灭菌的铝合金或碳纤维转子。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自动转子识别（Auto-ID）、限速控制、寿命计数 ≥100 000 次。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高清液晶触控屏，可戴手套操作；多语言界面、GMP/GLP 数据导出接口。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七、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容量与通用性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低速大容量：单次 ≥50–100 支真空采血管；高速角转子 ≥100 mL×4 或 1.5 mL×60。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兼容多种转子（水平、角转、鼓式），支持 0.2 mL–750 mL 离心管/瓶快速更换。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软件要求：拥有具备富血小板血浆（</w:t>
            </w:r>
            <w:r>
              <w:rPr>
                <w:rFonts w:hint="default"/>
                <w:sz w:val="24"/>
                <w:lang w:val="en-US" w:eastAsia="zh-CN"/>
              </w:rPr>
              <w:t>PRP</w:t>
            </w:r>
            <w:r>
              <w:rPr>
                <w:rFonts w:hint="eastAsia"/>
                <w:sz w:val="24"/>
                <w:lang w:eastAsia="zh-CN"/>
              </w:rPr>
              <w:t>）技能培训合格技能的技术人员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硬件要求：</w:t>
            </w:r>
            <w:r>
              <w:rPr>
                <w:rFonts w:hint="default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lang w:val="en-US" w:eastAsia="zh-CN"/>
              </w:rPr>
              <w:t>一间</w:t>
            </w:r>
            <w:r>
              <w:rPr>
                <w:rFonts w:hint="default"/>
                <w:sz w:val="24"/>
                <w:lang w:val="en-US" w:eastAsia="zh-CN"/>
              </w:rPr>
              <w:t>PRP</w:t>
            </w:r>
            <w:r>
              <w:rPr>
                <w:rFonts w:hint="eastAsia"/>
                <w:sz w:val="24"/>
                <w:lang w:val="en-US" w:eastAsia="zh-CN"/>
              </w:rPr>
              <w:t>制作室</w:t>
            </w:r>
            <w:r>
              <w:rPr>
                <w:rFonts w:hint="default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lang w:val="en-US" w:eastAsia="zh-CN"/>
              </w:rPr>
              <w:t>一间治疗室</w:t>
            </w:r>
            <w:r>
              <w:rPr>
                <w:rFonts w:hint="default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  <w:lang w:val="en-US" w:eastAsia="zh-CN"/>
              </w:rPr>
              <w:t>一台操作工作台</w:t>
            </w: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3"/>
            <w:bookmarkStart w:id="2" w:name="OLE_LINK2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81A3A94"/>
    <w:rsid w:val="19DC54F1"/>
    <w:rsid w:val="2F3D1E79"/>
    <w:rsid w:val="3FA22563"/>
    <w:rsid w:val="4215153F"/>
    <w:rsid w:val="4246427A"/>
    <w:rsid w:val="4C0E4FC1"/>
    <w:rsid w:val="539F1B70"/>
    <w:rsid w:val="54DE56F2"/>
    <w:rsid w:val="69F0140A"/>
    <w:rsid w:val="78887C68"/>
    <w:rsid w:val="7CAA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1187</Words>
  <Characters>1320</Characters>
  <Lines>0</Lines>
  <Paragraphs>0</Paragraphs>
  <TotalTime>10</TotalTime>
  <ScaleCrop>false</ScaleCrop>
  <LinksUpToDate>false</LinksUpToDate>
  <CharactersWithSpaces>1381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