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4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/>
              </w:rPr>
              <w:t>血液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lang w:eastAsia="zh-CN"/>
              </w:rPr>
              <w:t>成分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</w:rPr>
              <w:t>分离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lang w:eastAsia="zh-CN"/>
              </w:rPr>
              <w:t>机</w:t>
            </w:r>
            <w:r>
              <w:rPr>
                <w:rFonts w:hint="eastAsia"/>
                <w:sz w:val="28"/>
                <w:szCs w:val="28"/>
                <w:u w:val="none"/>
              </w:rPr>
              <w:t>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</w:rPr>
              <w:t>血液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eastAsia="zh-CN"/>
              </w:rPr>
              <w:t>成分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</w:rPr>
              <w:t>分离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eastAsia="zh-CN"/>
              </w:rPr>
              <w:t>机</w:t>
            </w:r>
            <w:r>
              <w:rPr>
                <w:rFonts w:hint="eastAsia" w:ascii="宋体" w:hAnsi="宋体" w:cs="宋体"/>
                <w:sz w:val="24"/>
                <w:szCs w:val="24"/>
                <w:u w:val="none"/>
                <w:lang w:val="en-US" w:eastAsia="zh-CN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本设备用于临床治疗性血液成分分离术，选择性去除患者血液中的病理成分，或采集/置换正常的血液成分，以达到治疗疾病的目的。具体应用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人群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包括：患有自身免疫性疾病（如重症肌无力、系统性红斑狼疮等）需清除自身抗体的患者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；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患有血液系统疾病（如真性红细胞增多症、多发性骨髓瘤等）需紧急降低细胞负荷或清除异常蛋白的患者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；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需要接受造血干细胞移植的血液肿瘤（如白血病、淋巴瘤）患者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；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肝功能衰竭、家族性高胆固醇血症等需进行血浆净化治疗的患者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；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其他需要血液成分分离治疗的临床指征患者。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一、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多模式治疗能力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：单台设备需集成并支持至少以下治疗模式：血浆置换、血浆吸附/双重血浆置换、白细胞去除、红细胞去除/置换、血小板去除、外周血干细胞采集、淋巴细胞采集。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8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二、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高安全性保障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1、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全密闭一次性管路系统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：确保患者血液不与机器直接接触，杜绝交叉感染。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2、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多重安全监控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：具备持续的压力（动脉压、静脉压、跨膜压、滤器压差）监测、气泡检测、漏血检测、血量平衡监控及声光报警系统，出现异常时能自动夹闭管路并停机。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3、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抗凝剂精准输注与监测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：集成抗凝剂（如枸橼酸盐）泵，并与全血泵联动，实时监测并报警。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8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三、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智能化与易用性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1、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图形化操作界面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：彩色触摸屏，中文操作菜单，流程引导清晰。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2、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预设治疗方案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：内置常见疾病的标准化治疗参数预设程序，支持个性化参数调整。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3、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自动化操作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：具备一键自动装机、自动引血、自动返血、自动冲管等功能，降低操作复杂度。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4、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过程数据记录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：实时显示并记录治疗参数、累计处理量、置换液量、抗凝剂用量等。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8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四、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高效率与灵活性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1、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双核/多核分离技术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：采用高效离心分离技术，能快速、高纯度地分离目标成分。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2、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持续与间歇采集模式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：适应不同治疗和采集需求。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3、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处理速度范围宽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：全血流速范围能满足从儿童到成人的不同治疗需求。</w:t>
            </w:r>
          </w:p>
          <w:p>
            <w:pPr>
              <w:widowControl/>
              <w:spacing w:line="240" w:lineRule="auto"/>
              <w:ind w:left="68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持续离心式，采用层流离心分离技术。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2、治疗模式：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须包括：血浆置换、血细胞分离（白细胞、红细胞、血小板去除/置换）、干细胞采集。建议包括：双重血浆置换/吸附、淋巴细胞采集。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3、血流速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广泛可调，典型范围：5-150 mL/min，以满足低体重患者及高流量治疗需求。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4、采集治疗：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干细胞采集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：单个核细胞回收率 ≥ 90%，CD34+ 细胞采集效率高；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血浆分离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：血浆纯度 ≥ 95%；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细胞去除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：目标细胞去除率 ≥ 70%（单次）。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5、安全性监测： 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压力监测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：动脉压、静脉压、跨膜压监测，范围覆盖-300至+500 mmHg；* 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气泡检测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：高灵敏度超声气泡探测器；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* 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漏血检测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：光学或电学原理，灵敏度可调；* 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血量平衡系统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：精度误差 ≤ ±5%；* 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抗凝剂泵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：独立注射泵，与主泵联动，输注精度高。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6、数据管理：可存储多次治疗数据，具备USB接口或网络接口（可选）用于数据导出。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7、耗材：使用厂家配套的、无菌、无热原、全密闭式一次性分离管路套装，型号覆盖全部治疗模式。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8、尺寸适中，带脚轮便于移动；噪音水平低（&lt;60 dB）；电源要求符合中国标准。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8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一、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硬件配置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1、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主机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：包含离心机、主控单元、彩色触摸显示屏、内置热敏打印机。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2、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泵系统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：至少包括全血泵、血浆/成分泵、抗凝剂泵、置换液/回输液泵（可选集成或外接）。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3、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传感器系统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：全套压力传感器、气泡探测器、漏血探测器、光学/重量平衡监测装置。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4、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安全夹钳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：多路电磁夹钳，对应不同管路。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5、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移动推车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：坚固稳定，带刹车脚轮，有置物平台。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8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二、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软件配置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1、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操作系统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：图形化实时操作系统。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2、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治疗软件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：内置标准治疗模式选择菜单；支持治疗参数（血流速、离心速度、收集速率等）的预设与自定义。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3、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安全监控软件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：实时监控所有安全参数，执行报警逻辑和自动保护动作。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4、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数据管理软件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：记录并显示治疗全过程的趋势图；可存储和回顾患者治疗记录；支持治疗报告打印。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5、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语言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：全中文操作界面和报告系统。</w:t>
            </w:r>
          </w:p>
          <w:p>
            <w:pPr>
              <w:spacing w:line="24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3"/>
            <w:bookmarkStart w:id="1" w:name="OLE_LINK4"/>
            <w:bookmarkStart w:id="2" w:name="OLE_LINK2"/>
            <w:bookmarkStart w:id="3" w:name="OLE_LINK5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default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6FE4532"/>
    <w:rsid w:val="181A3A94"/>
    <w:rsid w:val="1C606DF6"/>
    <w:rsid w:val="37472B97"/>
    <w:rsid w:val="4246427A"/>
    <w:rsid w:val="4C0E4FC1"/>
    <w:rsid w:val="4C6E5B44"/>
    <w:rsid w:val="539F1B70"/>
    <w:rsid w:val="5F4E4E8B"/>
    <w:rsid w:val="69F0140A"/>
    <w:rsid w:val="7888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paragraph" w:styleId="3">
    <w:name w:val="Normal (Web)"/>
    <w:basedOn w:val="1"/>
    <w:uiPriority w:val="0"/>
    <w:rPr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421</Words>
  <Characters>442</Characters>
  <Lines>0</Lines>
  <Paragraphs>0</Paragraphs>
  <TotalTime>2</TotalTime>
  <ScaleCrop>false</ScaleCrop>
  <LinksUpToDate>false</LinksUpToDate>
  <CharactersWithSpaces>490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dcterms:modified xsi:type="dcterms:W3CDTF">2025-12-11T09:41:23Z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eyJoZGlkIjoiZjUyNDI3YmY5ZjZhYjI0YzA4YzI0N2E1MGMzYjc2MmIiLCJ1c2VySWQiOiIyNTgxOTczNDcifQ==</vt:lpwstr>
  </property>
</Properties>
</file>