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bookmarkStart w:id="6" w:name="_GoBack"/>
      <w:bookmarkEnd w:id="6"/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光谱治疗仪（红蓝黄光谱治疗仪）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40" w:beforeAutospacing="0" w:after="240" w:afterAutospacing="0" w:line="26" w:lineRule="atLeast"/>
              <w:ind w:leftChars="0" w:right="0" w:rightChars="0"/>
              <w:textAlignment w:val="baseline"/>
              <w:outlineLvl w:val="3"/>
              <w:rPr>
                <w:rFonts w:hint="eastAsia" w:cs="宋体"/>
                <w:b/>
                <w:bCs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用途：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</w:rPr>
              <w:t>蓝光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杀灭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痤疮丙酸杆菌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40" w:beforeAutospacing="0" w:after="240" w:afterAutospacing="0" w:line="26" w:lineRule="atLeast"/>
              <w:ind w:left="0" w:right="0" w:firstLine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</w:rPr>
              <w:t>2. 红光用途：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修复、抗炎、嫩肤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修复组织、促进愈合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深层抗炎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淡化痘印、改善肤质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辅助治疗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神经痛等。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40" w:beforeAutospacing="0" w:after="240" w:afterAutospacing="0" w:line="26" w:lineRule="atLeast"/>
              <w:ind w:left="0" w:right="0" w:firstLine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3.黄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</w:rPr>
              <w:t>光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用途：修复、抗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敏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、嫩肤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适用人群：适用人群：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1.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痤疮患者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2.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油性皮肤、毛孔粗大者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有皮肤损伤需要修复者</w:t>
            </w:r>
            <w:r>
              <w:rPr>
                <w:rStyle w:val="8"/>
                <w:rFonts w:hint="eastAsia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；</w:t>
            </w:r>
            <w:r>
              <w:rPr>
                <w:rStyle w:val="8"/>
                <w:rFonts w:hint="eastAsia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4.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追求皮肤年轻化者</w:t>
            </w:r>
            <w:r>
              <w:rPr>
                <w:rStyle w:val="8"/>
                <w:rFonts w:hint="eastAsia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eastAsia="zh-CN"/>
              </w:rPr>
              <w:t>；</w:t>
            </w:r>
            <w:r>
              <w:rPr>
                <w:rStyle w:val="8"/>
                <w:rFonts w:hint="eastAsia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</w:rPr>
              <w:t>敏感性皮肤、玫瑰痤疮、皮炎湿疹患者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right="0" w:rightChars="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1.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光源性能与精度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波长精准：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必须明确输出光的中心波长（如蓝光415nm±5nm，红光633nm±5nm，黄光590nm±5nm），波长纯度越高，治疗效果越好。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光功率密度稳定：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设备应能输出并维持稳定的光功率密度（单位：mW/cm²），这是保证疗效剂量的关键。功率可调或在特定范围内保持稳定。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均匀照射：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治疗头的光斑需光照均匀，避免中心与边缘能量差异过大，导致治疗效果不一致或灼伤。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2.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多光模式与组合功能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独立光模式：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设备应能独立输出纯蓝光、纯红光、纯黄光。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组合光模式：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提供预设的联合治疗模式，如：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红蓝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黄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光混合模式：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同时输出，用于兼顾消炎和修复。</w:t>
            </w:r>
          </w:p>
          <w:p>
            <w:pPr>
              <w:keepNext w:val="0"/>
              <w:keepLines w:val="0"/>
              <w:widowControl/>
              <w:numPr>
                <w:ilvl w:val="2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序贯治疗模式：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先蓝光后红光等，可按预设程序自动切换。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模式可调性：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允许医护人员根据患者具体情况，自定义光照模式、剂量和治疗时间。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3.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治疗参数精确控制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治疗时间可设定：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可精确设定每次治疗的时间（通常以秒或分钟为单位），并有倒计时显示。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剂量计算与显示：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能自动计算并显示累计的能量密度（单位：J/cm²），即功率密度 × 时间，这是标准化治疗的核心。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40" w:beforeAutospacing="0" w:after="0" w:afterAutospacing="0" w:line="19" w:lineRule="atLeast"/>
              <w:ind w:left="0" w:right="0" w:firstLine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</w:rPr>
              <w:t>二、 安全保护功能要求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11.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人眼安全保护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自动断电/遮光功能：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当治疗头离开皮肤一定距离或角度时，光源应能自动熄灭或降低至安全功率，防止强光直射人眼。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7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配备防护眼镜：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为患者和操作者提供符合安全标准的专用防护眼镜。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2.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设备运行安全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8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过热保护：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内置温度传感器，当设备温度过高时自动降温或停止工作，防止烫伤患者或损坏设备。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8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故障自检与报警：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开机时自动进行系统自检，运行中出现故障（如光源异常、散热故障等）能立即发出声光报警并停止输出。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8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紧急停止按钮：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设备表面设有醒目的、易于触及的紧急停止开关。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40" w:beforeAutospacing="0" w:after="0" w:afterAutospacing="0" w:line="19" w:lineRule="atLeast"/>
              <w:ind w:left="0" w:right="0" w:firstLine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</w:rPr>
              <w:t>三、 人机交互与操作性要求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1.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用户界面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直观的显示界面：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清晰的液晶显示屏，能实时显示当前工作模式、功率、剩余时间、累计剂量等关键参数。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简易操作：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操作流程简单，最好有“一键式”预设治疗方案，方便护士快速操作。同时保留专家模式供医生进行精细调整。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22.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治疗头设计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灵活性与适用性：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治疗头设计应贴合面部、身体等不同部位的轮廓。可配备不同大小和形状的治疗头，用于局部或全身治疗。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轻便易持：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治疗头重量轻，操作者长时间使用不易疲劳。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40" w:beforeAutospacing="0" w:after="0" w:afterAutospacing="0" w:line="19" w:lineRule="atLeast"/>
              <w:ind w:left="0" w:right="0" w:firstLine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</w:rPr>
              <w:t>四、 物理结构与维护要求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11.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设备结构与移动性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稳定牢固：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设备主机支架稳定，不易倾倒。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移动便捷：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带脚轮，便于在不同治疗室之间移动，且脚轮有锁定功能。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2.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清洁与消毒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治疗头可消毒：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治疗头表面材质应耐受酒精等常用消毒剂的反复擦拭，防止交叉感染。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3.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耐用性与寿命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光源寿命：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明确标注LED光源的预期使用寿命（小时数），寿命越长，设备使用成本越低。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可靠性：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设备整体设计可靠，故障率低。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40" w:beforeAutospacing="0" w:after="0" w:afterAutospacing="0" w:line="19" w:lineRule="atLeast"/>
              <w:ind w:left="0" w:right="0" w:firstLine="0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-2"/>
                <w:sz w:val="24"/>
                <w:szCs w:val="24"/>
                <w:shd w:val="clear" w:fill="FFFFFF"/>
                <w:vertAlign w:val="baseline"/>
              </w:rPr>
              <w:t>五、 数据管理与连接性要求（高端功能）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1.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患者数据管理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7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治疗记录存储：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可记录和存储不同患者的治疗参数（模式、剂量、时间等）。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17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440"/>
              </w:tabs>
              <w:spacing w:before="0" w:beforeAutospacing="0" w:after="15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患者信息识别：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支持通过扫描患者ID条码等方式快速调取治疗档案。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textAlignment w:val="baseline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2.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外部连接</w:t>
            </w:r>
          </w:p>
          <w:p>
            <w:pP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•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数据导出：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</w:rPr>
              <w:t>支持通过USB或网络将治疗数据导出，便于医院进行数据分析和质量管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理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-2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4"/>
            <w:bookmarkStart w:id="1" w:name="OLE_LINK2"/>
            <w:bookmarkStart w:id="2" w:name="OLE_LINK3"/>
            <w:bookmarkStart w:id="3" w:name="OLE_LINK5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</w:tc>
      </w:tr>
    </w:tbl>
    <w:p/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ar(--hy-font-family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A9FE33"/>
    <w:multiLevelType w:val="multilevel"/>
    <w:tmpl w:val="90A9FE3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69BA75E"/>
    <w:multiLevelType w:val="multilevel"/>
    <w:tmpl w:val="C69BA75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D515702D"/>
    <w:multiLevelType w:val="multilevel"/>
    <w:tmpl w:val="D515702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D5E295EA"/>
    <w:multiLevelType w:val="multilevel"/>
    <w:tmpl w:val="D5E295E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/>
        <w:sz w:val="20"/>
      </w:rPr>
    </w:lvl>
    <w:lvl w:ilvl="2" w:tentative="0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Courier New"/>
        <w:sz w:val="20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19259A96"/>
    <w:multiLevelType w:val="multilevel"/>
    <w:tmpl w:val="19259A9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2E142472"/>
    <w:multiLevelType w:val="multilevel"/>
    <w:tmpl w:val="2E14247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6">
    <w:nsid w:val="36FBBD86"/>
    <w:multiLevelType w:val="multilevel"/>
    <w:tmpl w:val="36FBBD8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6D86073"/>
    <w:rsid w:val="181A3A94"/>
    <w:rsid w:val="3EC41FDF"/>
    <w:rsid w:val="4246427A"/>
    <w:rsid w:val="4C0E4FC1"/>
    <w:rsid w:val="539F1B70"/>
    <w:rsid w:val="57BF69DF"/>
    <w:rsid w:val="5FC83ECC"/>
    <w:rsid w:val="66E9162F"/>
    <w:rsid w:val="68EC5511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593</Words>
  <Characters>614</Characters>
  <Lines>0</Lines>
  <Paragraphs>0</Paragraphs>
  <TotalTime>5</TotalTime>
  <ScaleCrop>false</ScaleCrop>
  <LinksUpToDate>false</LinksUpToDate>
  <CharactersWithSpaces>662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lenovo</cp:lastModifiedBy>
  <cp:lastPrinted>2025-12-09T08:05:24Z</cp:lastPrinted>
  <dcterms:modified xsi:type="dcterms:W3CDTF">2025-12-09T08:08:19Z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eyJoZGlkIjoiNzAwMDgwZDhiMjY5MzUwODBjNzhkODJjZWNjMjMyOGYiLCJ1c2VySWQiOiIxMDAwMjgxMDQ2In0=</vt:lpwstr>
  </property>
</Properties>
</file>