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多导睡眠监测仪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用途：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/>
                <w:sz w:val="20"/>
                <w:szCs w:val="20"/>
              </w:rPr>
              <w:t>诊断失眠：客观量化评估入睡潜伏期、觉醒次数、睡眠时长、睡眠结构（如深睡、浅睡比例）等，明确失眠类型及潜在病因，如脑部病变、睡眠呼吸障碍或肢体异常活动。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/>
                <w:sz w:val="20"/>
                <w:szCs w:val="20"/>
              </w:rPr>
              <w:t>检测睡眠呼吸障碍：识别阻塞性、中枢性睡眠呼吸暂停综合征、良性鼾症等，监测呼吸暂停次数、低通气情况及血氧饱和度变化，评估病情严重程度。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3.</w:t>
            </w:r>
            <w:r>
              <w:rPr>
                <w:rFonts w:hint="eastAsia"/>
                <w:sz w:val="20"/>
                <w:szCs w:val="20"/>
              </w:rPr>
              <w:t>诊断神经系统疾病：辅助诊断发作性睡病、周期性肢体运动障碍、不宁腿综合征、快速眼动睡眠期行为障碍等，通过脑电、肌电等数据判断异常活动。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</w:t>
            </w:r>
            <w:r>
              <w:rPr>
                <w:rFonts w:hint="eastAsia"/>
                <w:sz w:val="20"/>
                <w:szCs w:val="20"/>
              </w:rPr>
              <w:t>评估心血管风险：监测睡眠中心率、心律失常情况，分析呼吸暂停与心血管事件（如夜间心绞痛、高血压）的关联，为心血管疾病防治提供依据。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5.</w:t>
            </w:r>
            <w:r>
              <w:rPr>
                <w:rFonts w:hint="eastAsia"/>
                <w:sz w:val="20"/>
                <w:szCs w:val="20"/>
              </w:rPr>
              <w:t>鉴别精神疾病相关睡眠问题：帮助区分抑郁症、焦虑症等精神疾病导致的睡眠障碍与其他睡眠疾病，指导精准治疗。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</w:t>
            </w:r>
            <w:r>
              <w:rPr>
                <w:rFonts w:hint="eastAsia"/>
                <w:sz w:val="20"/>
                <w:szCs w:val="20"/>
              </w:rPr>
              <w:t>评估治疗效果：用于监测药物治疗、无创通气等干预措施对睡眠结构、呼吸功能的改善情况，调整治疗方案。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适合人群：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/>
                <w:sz w:val="20"/>
                <w:szCs w:val="20"/>
              </w:rPr>
              <w:t>失眠患者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/>
                <w:sz w:val="20"/>
                <w:szCs w:val="20"/>
              </w:rPr>
              <w:t>睡眠呼吸障碍疑似患者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3.</w:t>
            </w:r>
            <w:r>
              <w:rPr>
                <w:rFonts w:hint="eastAsia"/>
                <w:sz w:val="20"/>
                <w:szCs w:val="20"/>
              </w:rPr>
              <w:t>异态睡眠患者</w:t>
            </w:r>
          </w:p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</w:t>
            </w:r>
            <w:r>
              <w:rPr>
                <w:rFonts w:hint="eastAsia"/>
                <w:sz w:val="20"/>
                <w:szCs w:val="20"/>
              </w:rPr>
              <w:t>睡眠相关运动障碍患者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5.</w:t>
            </w:r>
            <w:r>
              <w:rPr>
                <w:rFonts w:hint="eastAsia"/>
                <w:sz w:val="20"/>
                <w:szCs w:val="20"/>
              </w:rPr>
              <w:t>心血管疾病患者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</w:t>
            </w:r>
            <w:r>
              <w:rPr>
                <w:rFonts w:hint="eastAsia"/>
                <w:sz w:val="20"/>
                <w:szCs w:val="20"/>
              </w:rPr>
              <w:t>精神疾病患者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7.</w:t>
            </w:r>
            <w:r>
              <w:rPr>
                <w:rFonts w:hint="eastAsia"/>
                <w:sz w:val="20"/>
                <w:szCs w:val="20"/>
              </w:rPr>
              <w:t>特殊职业或高风险人群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一、核心信号采集功能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设备必须能够同步、高保真地采集以下生理参数：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1.脑电图（EEG）：</w:t>
            </w:r>
          </w:p>
          <w:p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通道数：至少6-8导联，遵循10-20国际电极放置系统（如F3、F4、C3、C4、O1、O2等），以进行睡眠分期（N1， N2， N3， REM）。</w:t>
            </w:r>
          </w:p>
          <w:p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采样率：≥500 Hz，以确保高频脑波（如纺锤波、K复合波）的准确识别。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2.眼动电图（EOG）：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至少2导联（左/右眼外侧），用于检测快速眼动睡眠期及慢速眼动。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3.肌电图（EMG）：</w:t>
            </w:r>
          </w:p>
          <w:p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下颌肌电：至少1导联，用于区分REM期（肌张力缺失）和觉醒期。</w:t>
            </w:r>
          </w:p>
          <w:p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腿动肌电：至少2导联（通常为胫骨前肌），用于诊断周期性肢体运动障碍。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4.心电（ECG）：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至少1导联（Ⅱ导联常用），监测心率、心律失常，分析心率变异性。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5.呼吸监测：</w:t>
            </w:r>
          </w:p>
          <w:p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气流：同时使用热敏传感器（定性）和鼻压力传感器（半定量）监测口鼻气流。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呼吸努力：</w:t>
            </w:r>
          </w:p>
          <w:p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胸腹运动带：采用感应式体积描记法或阻抗法。</w:t>
            </w:r>
          </w:p>
          <w:p>
            <w:pPr>
              <w:ind w:firstLine="560" w:firstLineChars="200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首选：食道内压监测 或 呼吸感应体积描记法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  <w:p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血氧饱和度（SpO₂）：使用指套式脉搏血氧仪，采样率≥1 Hz，具备高分辨率及运动伪差抗干扰能力。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6.体位监测：传感器自动记录患者睡眠姿势（仰卧、侧卧、俯卧）。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7.鼾声监测：通过麦克风记录鼾声强度与频率。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二、数据记录与分析系统功能要求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1.硬件与记录单元：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放大器：高输入阻抗、高共模抑制比（CMRR &gt; 100 dB）、低噪声，防止信号干扰。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采样精度：≥16位A/D转换。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存储：本地大容量安全存储，并建议有同步云端备份功能。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接口：支持同步视频/音频输入，实现音视频与生理信号同步回放。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 软件分析系统：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标准化睡眠分期：能根据AASM最新版指南（如v3.0）进行自动分期，并允许技师手动精确调整。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呼吸事件自动检测与分类：能自动识别并标记 apnea（中枢性、阻塞性、混合性）、hypopnea、RERA，并根据可选标准（如1A， 1B， 4A）进行参数计算。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肢体运动事件分析：自动检测PLMS并计算指数。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心电分析：自动检测心率、心律失常，并可计算R-R间期。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用户界面：直观、可定制。能同时浏览所有信号，具备灵活的缩放、滚动、蒙太奇调整功能。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报告生成：一键生成符合临床标准的综合报告，包含：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睡眠结构图（hypnogram）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关键指标：总睡眠时间、睡眠效率、各期百分比、潜伏期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呼吸事件指数（AHI， RDI）、最低血氧、氧减指数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肢体运动指数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自定义事件添加与注释功能</w:t>
            </w:r>
            <w:bookmarkStart w:id="6" w:name="_GoBack"/>
            <w:bookmarkEnd w:id="6"/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三、扩展功能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1.便携式/家庭睡眠监测功能：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设备应具备简化版本（Type 2或3），适用于家庭环境，确保数据质量与实验室接近。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2.CPAP/呼吸机滴定集成功能：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能够与主流CPAP/双水平呼吸机连接，同步记录气道压力、漏气量等数据，用于精准的压力滴定。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3.扩展脑电与生理监测：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支持更多EEG导联（如全导联21通道）用于癫痫或异态睡眠的鉴别诊断。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增加食道pH监测（用于胃食管反流）、经皮CO₂监测、无创血压监测等模块。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4.网络化与数据管理：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支持多工作站网络化操作，中央服务器存储，便于数据管理、远程访问和会诊。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5.信号质量指示：实时显示各通道信号质量，提示电极脱落或干扰。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四、设备通用要求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1.安全性与认证：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必须通过医疗器械注册认证（如中国NMPA、美国FDA 510(k)、欧盟CE MDD/MDR）。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符合电气安全标准（如IEC 60601-1），具备除颤保护等。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2.可靠性：系统应运行稳定，抗干扰能力强，平均无故障时间长。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3.易用性与患者舒适度：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电极线缆轻便、柔软、抗缠绕。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传感器材质亲肤，不易引起过敏或不适。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设置流程简化，配备清晰的连接向导。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4.技术支持与培训：供应商需提供全面的安装、操作、分析培训及及时的技术支持与维修服务。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五、采购与评估要点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明确需求：根据主要服务对象（成人/儿童/复杂病例）确定核心与扩展功能。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核心是信号质量：现场演示，评估在模拟环境下的信号保真度和抗干扰能力。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软件是关键：测试自动分析的准确性和人工编辑的便捷性，这是影响诊断效率的核心。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系统兼容性与升级：考虑未来是否可添加模块（如滴定、更多导联），软件更新是否及时且符合最新标准。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/>
                <w:sz w:val="28"/>
                <w:szCs w:val="28"/>
              </w:rPr>
              <w:t>售后服务与成本：综合考虑设备价格、耗材成本、维保费用和供应商在本地的服务能力。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软、硬件的配置要求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tbl>
            <w:tblPr>
              <w:tblStyle w:val="3"/>
              <w:tblW w:w="9587" w:type="dxa"/>
              <w:tblInd w:w="0" w:type="dxa"/>
              <w:tblBorders>
                <w:top w:val="single" w:color="000080" w:sz="6" w:space="0"/>
                <w:left w:val="single" w:color="000080" w:sz="6" w:space="0"/>
                <w:bottom w:val="single" w:color="000080" w:sz="6" w:space="0"/>
                <w:right w:val="single" w:color="000080" w:sz="6" w:space="0"/>
                <w:insideH w:val="single" w:color="000080" w:sz="6" w:space="0"/>
                <w:insideV w:val="single" w:color="000080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087"/>
              <w:gridCol w:w="1827"/>
              <w:gridCol w:w="2673"/>
            </w:tblGrid>
            <w:tr>
              <w:tblPrEx>
                <w:tblBorders>
                  <w:top w:val="single" w:color="000080" w:sz="6" w:space="0"/>
                  <w:left w:val="single" w:color="000080" w:sz="6" w:space="0"/>
                  <w:bottom w:val="single" w:color="000080" w:sz="6" w:space="0"/>
                  <w:right w:val="single" w:color="000080" w:sz="6" w:space="0"/>
                  <w:insideH w:val="single" w:color="000080" w:sz="6" w:space="0"/>
                  <w:insideV w:val="single" w:color="000080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087" w:type="dxa"/>
                </w:tcPr>
                <w:p>
                  <w:pPr>
                    <w:jc w:val="center"/>
                    <w:rPr>
                      <w:b/>
                      <w:bCs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b/>
                      <w:bCs/>
                      <w:kern w:val="0"/>
                      <w:sz w:val="20"/>
                      <w:szCs w:val="20"/>
                    </w:rPr>
                    <w:t>名称</w:t>
                  </w:r>
                </w:p>
              </w:tc>
              <w:tc>
                <w:tcPr>
                  <w:tcW w:w="1827" w:type="dxa"/>
                </w:tcPr>
                <w:p>
                  <w:pPr>
                    <w:jc w:val="center"/>
                    <w:rPr>
                      <w:b/>
                      <w:bCs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b/>
                      <w:bCs/>
                      <w:kern w:val="0"/>
                      <w:sz w:val="20"/>
                      <w:szCs w:val="20"/>
                    </w:rPr>
                    <w:t>单位</w:t>
                  </w:r>
                </w:p>
              </w:tc>
              <w:tc>
                <w:tcPr>
                  <w:tcW w:w="2673" w:type="dxa"/>
                </w:tcPr>
                <w:p>
                  <w:pPr>
                    <w:tabs>
                      <w:tab w:val="left" w:pos="329"/>
                    </w:tabs>
                    <w:jc w:val="center"/>
                    <w:rPr>
                      <w:b/>
                      <w:bCs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b/>
                      <w:bCs/>
                      <w:kern w:val="0"/>
                      <w:sz w:val="20"/>
                      <w:szCs w:val="20"/>
                    </w:rPr>
                    <w:t>数量规格</w:t>
                  </w:r>
                </w:p>
              </w:tc>
            </w:tr>
            <w:tr>
              <w:tblPrEx>
                <w:tblBorders>
                  <w:top w:val="single" w:color="000080" w:sz="6" w:space="0"/>
                  <w:left w:val="single" w:color="000080" w:sz="6" w:space="0"/>
                  <w:bottom w:val="single" w:color="000080" w:sz="6" w:space="0"/>
                  <w:right w:val="single" w:color="000080" w:sz="6" w:space="0"/>
                  <w:insideH w:val="single" w:color="000080" w:sz="6" w:space="0"/>
                  <w:insideV w:val="single" w:color="000080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087" w:type="dxa"/>
                </w:tcPr>
                <w:p>
                  <w:pPr>
                    <w:jc w:val="left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睡眠分析软件</w:t>
                  </w:r>
                </w:p>
              </w:tc>
              <w:tc>
                <w:tcPr>
                  <w:tcW w:w="1827" w:type="dxa"/>
                </w:tcPr>
                <w:p>
                  <w:pPr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1套</w:t>
                  </w:r>
                </w:p>
              </w:tc>
              <w:tc>
                <w:tcPr>
                  <w:tcW w:w="2673" w:type="dxa"/>
                </w:tcPr>
                <w:p>
                  <w:pPr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000080" w:sz="6" w:space="0"/>
                  <w:left w:val="single" w:color="000080" w:sz="6" w:space="0"/>
                  <w:bottom w:val="single" w:color="000080" w:sz="6" w:space="0"/>
                  <w:right w:val="single" w:color="000080" w:sz="6" w:space="0"/>
                  <w:insideH w:val="single" w:color="000080" w:sz="6" w:space="0"/>
                  <w:insideV w:val="single" w:color="000080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087" w:type="dxa"/>
                </w:tcPr>
                <w:p>
                  <w:pPr>
                    <w:jc w:val="left"/>
                    <w:rPr>
                      <w:rFonts w:hint="eastAsia" w:ascii="宋体" w:hAnsi="宋体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iPad mini</w:t>
                  </w:r>
                </w:p>
              </w:tc>
              <w:tc>
                <w:tcPr>
                  <w:tcW w:w="1827" w:type="dxa"/>
                </w:tcPr>
                <w:p>
                  <w:pPr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1台</w:t>
                  </w:r>
                </w:p>
              </w:tc>
              <w:tc>
                <w:tcPr>
                  <w:tcW w:w="2673" w:type="dxa"/>
                </w:tcPr>
                <w:p>
                  <w:pPr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000080" w:sz="6" w:space="0"/>
                  <w:left w:val="single" w:color="000080" w:sz="6" w:space="0"/>
                  <w:bottom w:val="single" w:color="000080" w:sz="6" w:space="0"/>
                  <w:right w:val="single" w:color="000080" w:sz="6" w:space="0"/>
                  <w:insideH w:val="single" w:color="000080" w:sz="6" w:space="0"/>
                  <w:insideV w:val="single" w:color="000080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087" w:type="dxa"/>
                </w:tcPr>
                <w:p>
                  <w:pPr>
                    <w:jc w:val="left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</w:rPr>
                    <w:t>睡眠监测主机</w:t>
                  </w:r>
                </w:p>
              </w:tc>
              <w:tc>
                <w:tcPr>
                  <w:tcW w:w="1827" w:type="dxa"/>
                </w:tcPr>
                <w:p>
                  <w:pPr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1台</w:t>
                  </w:r>
                </w:p>
              </w:tc>
              <w:tc>
                <w:tcPr>
                  <w:tcW w:w="2673" w:type="dxa"/>
                </w:tcPr>
                <w:p>
                  <w:pPr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000080" w:sz="6" w:space="0"/>
                  <w:left w:val="single" w:color="000080" w:sz="6" w:space="0"/>
                  <w:bottom w:val="single" w:color="000080" w:sz="6" w:space="0"/>
                  <w:right w:val="single" w:color="000080" w:sz="6" w:space="0"/>
                  <w:insideH w:val="single" w:color="000080" w:sz="6" w:space="0"/>
                  <w:insideV w:val="single" w:color="000080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087" w:type="dxa"/>
                </w:tcPr>
                <w:p>
                  <w:pPr>
                    <w:jc w:val="left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脑心电组件采集盒（14导）</w:t>
                  </w:r>
                </w:p>
              </w:tc>
              <w:tc>
                <w:tcPr>
                  <w:tcW w:w="1827" w:type="dxa"/>
                </w:tcPr>
                <w:p>
                  <w:pPr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1个</w:t>
                  </w:r>
                </w:p>
              </w:tc>
              <w:tc>
                <w:tcPr>
                  <w:tcW w:w="2673" w:type="dxa"/>
                </w:tcPr>
                <w:p>
                  <w:pPr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000080" w:sz="6" w:space="0"/>
                  <w:left w:val="single" w:color="000080" w:sz="6" w:space="0"/>
                  <w:bottom w:val="single" w:color="000080" w:sz="6" w:space="0"/>
                  <w:right w:val="single" w:color="000080" w:sz="6" w:space="0"/>
                  <w:insideH w:val="single" w:color="000080" w:sz="6" w:space="0"/>
                  <w:insideV w:val="single" w:color="000080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087" w:type="dxa"/>
                </w:tcPr>
                <w:p>
                  <w:pPr>
                    <w:jc w:val="left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胸腹呼吸导联线</w:t>
                  </w:r>
                </w:p>
              </w:tc>
              <w:tc>
                <w:tcPr>
                  <w:tcW w:w="1827" w:type="dxa"/>
                </w:tcPr>
                <w:p>
                  <w:pPr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1包</w:t>
                  </w:r>
                </w:p>
              </w:tc>
              <w:tc>
                <w:tcPr>
                  <w:tcW w:w="2673" w:type="dxa"/>
                </w:tcPr>
                <w:p>
                  <w:pPr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1条/包</w:t>
                  </w:r>
                </w:p>
              </w:tc>
            </w:tr>
            <w:tr>
              <w:tblPrEx>
                <w:tblBorders>
                  <w:top w:val="single" w:color="000080" w:sz="6" w:space="0"/>
                  <w:left w:val="single" w:color="000080" w:sz="6" w:space="0"/>
                  <w:bottom w:val="single" w:color="000080" w:sz="6" w:space="0"/>
                  <w:right w:val="single" w:color="000080" w:sz="6" w:space="0"/>
                  <w:insideH w:val="single" w:color="000080" w:sz="6" w:space="0"/>
                  <w:insideV w:val="single" w:color="000080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087" w:type="dxa"/>
                </w:tcPr>
                <w:p>
                  <w:pPr>
                    <w:jc w:val="left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胸腹呼吸运动绑带</w:t>
                  </w:r>
                </w:p>
              </w:tc>
              <w:tc>
                <w:tcPr>
                  <w:tcW w:w="1827" w:type="dxa"/>
                </w:tcPr>
                <w:p>
                  <w:pPr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1包</w:t>
                  </w:r>
                </w:p>
              </w:tc>
              <w:tc>
                <w:tcPr>
                  <w:tcW w:w="2673" w:type="dxa"/>
                </w:tcPr>
                <w:p>
                  <w:pPr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2条/包</w:t>
                  </w:r>
                </w:p>
              </w:tc>
            </w:tr>
            <w:tr>
              <w:tblPrEx>
                <w:tblBorders>
                  <w:top w:val="single" w:color="000080" w:sz="6" w:space="0"/>
                  <w:left w:val="single" w:color="000080" w:sz="6" w:space="0"/>
                  <w:bottom w:val="single" w:color="000080" w:sz="6" w:space="0"/>
                  <w:right w:val="single" w:color="000080" w:sz="6" w:space="0"/>
                  <w:insideH w:val="single" w:color="000080" w:sz="6" w:space="0"/>
                  <w:insideV w:val="single" w:color="000080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087" w:type="dxa"/>
                </w:tcPr>
                <w:p>
                  <w:pPr>
                    <w:jc w:val="left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麦克式鼾声传感器</w:t>
                  </w:r>
                </w:p>
              </w:tc>
              <w:tc>
                <w:tcPr>
                  <w:tcW w:w="1827" w:type="dxa"/>
                </w:tcPr>
                <w:p>
                  <w:pPr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1个</w:t>
                  </w:r>
                </w:p>
              </w:tc>
              <w:tc>
                <w:tcPr>
                  <w:tcW w:w="2673" w:type="dxa"/>
                </w:tcPr>
                <w:p>
                  <w:pPr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000080" w:sz="6" w:space="0"/>
                  <w:left w:val="single" w:color="000080" w:sz="6" w:space="0"/>
                  <w:bottom w:val="single" w:color="000080" w:sz="6" w:space="0"/>
                  <w:right w:val="single" w:color="000080" w:sz="6" w:space="0"/>
                  <w:insideH w:val="single" w:color="000080" w:sz="6" w:space="0"/>
                  <w:insideV w:val="single" w:color="000080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087" w:type="dxa"/>
                </w:tcPr>
                <w:p>
                  <w:pPr>
                    <w:jc w:val="left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热敏式口鼻气流传感器</w:t>
                  </w:r>
                </w:p>
              </w:tc>
              <w:tc>
                <w:tcPr>
                  <w:tcW w:w="1827" w:type="dxa"/>
                </w:tcPr>
                <w:p>
                  <w:pPr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1个</w:t>
                  </w:r>
                </w:p>
              </w:tc>
              <w:tc>
                <w:tcPr>
                  <w:tcW w:w="2673" w:type="dxa"/>
                </w:tcPr>
                <w:p>
                  <w:pPr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000080" w:sz="6" w:space="0"/>
                  <w:left w:val="single" w:color="000080" w:sz="6" w:space="0"/>
                  <w:bottom w:val="single" w:color="000080" w:sz="6" w:space="0"/>
                  <w:right w:val="single" w:color="000080" w:sz="6" w:space="0"/>
                  <w:insideH w:val="single" w:color="000080" w:sz="6" w:space="0"/>
                  <w:insideV w:val="single" w:color="000080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087" w:type="dxa"/>
                </w:tcPr>
                <w:p>
                  <w:pPr>
                    <w:jc w:val="left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血氧传感器</w:t>
                  </w:r>
                </w:p>
              </w:tc>
              <w:tc>
                <w:tcPr>
                  <w:tcW w:w="1827" w:type="dxa"/>
                </w:tcPr>
                <w:p>
                  <w:pPr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1条</w:t>
                  </w:r>
                </w:p>
              </w:tc>
              <w:tc>
                <w:tcPr>
                  <w:tcW w:w="2673" w:type="dxa"/>
                </w:tcPr>
                <w:p>
                  <w:pPr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</w:tbl>
          <w:p>
            <w:pPr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20" w:lineRule="auto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1.设备使用期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Arial" w:hAnsi="Arial" w:cs="Arial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年，设备的生产日期和合同签订的时间间隔不大于6个月。</w:t>
            </w:r>
          </w:p>
          <w:p>
            <w:pPr>
              <w:spacing w:line="120" w:lineRule="auto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bookmarkStart w:id="0" w:name="OLE_LINK3"/>
            <w:bookmarkStart w:id="1" w:name="OLE_LINK5"/>
            <w:bookmarkStart w:id="2" w:name="OLE_LINK4"/>
            <w:bookmarkStart w:id="3" w:name="OLE_LINK2"/>
            <w:r>
              <w:rPr>
                <w:rFonts w:hint="eastAsia" w:ascii="宋体" w:hAnsi="宋体"/>
                <w:sz w:val="24"/>
                <w:szCs w:val="24"/>
              </w:rPr>
              <w:t>整机免费质保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宋体" w:hAnsi="宋体"/>
                <w:sz w:val="24"/>
                <w:szCs w:val="24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spacing w:line="120" w:lineRule="auto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sz w:val="24"/>
                <w:szCs w:val="24"/>
              </w:rPr>
              <w:t>供货时应同时附上中文使用说明书（包括纸质版和电子版）。</w:t>
            </w:r>
          </w:p>
          <w:p>
            <w:pPr>
              <w:spacing w:line="120" w:lineRule="auto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sz w:val="24"/>
                <w:szCs w:val="24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7．产品零配件国内供应及时；设备主机保修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8．维修响应时间：2小时响应，48小时未解决问题提供备用机使用。</w:t>
            </w:r>
          </w:p>
          <w:p>
            <w:pPr>
              <w:jc w:val="center"/>
              <w:rPr>
                <w:sz w:val="24"/>
              </w:rPr>
            </w:pPr>
          </w:p>
        </w:tc>
      </w:tr>
    </w:tbl>
    <w:p/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三、配件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rPr>
          <w:b/>
          <w:bCs/>
          <w:color w:val="C00000"/>
          <w:sz w:val="28"/>
          <w:szCs w:val="28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</w:tr>
    </w:tbl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</w:rPr>
      </w:pP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</w:rPr>
      </w:pP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科主任签名：</w:t>
      </w:r>
      <w:r>
        <w:rPr>
          <w:rFonts w:hint="eastAsia"/>
          <w:b/>
          <w:bCs/>
          <w:sz w:val="24"/>
          <w:szCs w:val="24"/>
          <w:lang w:eastAsia="zh-CN"/>
        </w:rPr>
        <w:t>李宏剑</w:t>
      </w:r>
    </w:p>
    <w:p>
      <w:pPr>
        <w:spacing w:line="480" w:lineRule="auto"/>
      </w:pPr>
      <w:r>
        <w:rPr>
          <w:rFonts w:ascii="宋体" w:hAnsi="宋体"/>
          <w:sz w:val="24"/>
          <w:szCs w:val="24"/>
        </w:rPr>
        <w:t xml:space="preserve">                                                </w:t>
      </w:r>
      <w:r>
        <w:rPr>
          <w:rFonts w:hint="eastAsia" w:ascii="宋体" w:hAnsi="宋体"/>
          <w:sz w:val="24"/>
          <w:szCs w:val="24"/>
        </w:rPr>
        <w:t>20225年1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0114CB5"/>
    <w:rsid w:val="009A7290"/>
    <w:rsid w:val="009C3BF1"/>
    <w:rsid w:val="00A3680C"/>
    <w:rsid w:val="06C3410B"/>
    <w:rsid w:val="16B0124D"/>
    <w:rsid w:val="181A3A94"/>
    <w:rsid w:val="1E667CC7"/>
    <w:rsid w:val="4246427A"/>
    <w:rsid w:val="486937F1"/>
    <w:rsid w:val="4C0E4FC1"/>
    <w:rsid w:val="539F1B70"/>
    <w:rsid w:val="622B7581"/>
    <w:rsid w:val="66B468B4"/>
    <w:rsid w:val="69F0140A"/>
    <w:rsid w:val="78887C68"/>
    <w:rsid w:val="7E19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2117</Words>
  <Characters>2266</Characters>
  <Lines>206</Lines>
  <Paragraphs>199</Paragraphs>
  <TotalTime>0</TotalTime>
  <ScaleCrop>false</ScaleCrop>
  <LinksUpToDate>false</LinksUpToDate>
  <CharactersWithSpaces>4184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2025-12-09T10:05:18Z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eyJoZGlkIjoiYTU0MDhkNTExZmRiNDVmOTI2NzdkYjhmM2ZjMzY1ZDEiLCJ1c2VySWQiOiIyMjY3NDE5NzIifQ==</vt:lpwstr>
  </property>
</Properties>
</file>