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Cs/>
          <w:sz w:val="28"/>
          <w:szCs w:val="28"/>
        </w:rPr>
      </w:pPr>
      <w:r>
        <w:rPr>
          <w:rFonts w:hint="eastAsia" w:ascii="宋体" w:hAnsi="宋体"/>
          <w:b/>
          <w:sz w:val="28"/>
          <w:szCs w:val="28"/>
        </w:rPr>
        <w:t>申购仪器设备的技术参数及配置要求</w:t>
      </w:r>
    </w:p>
    <w:tbl>
      <w:tblPr>
        <w:tblStyle w:val="3"/>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7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1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7020"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宋体" w:hAnsi="宋体" w:eastAsia="宋体" w:cs="宋体"/>
                <w:sz w:val="24"/>
                <w:szCs w:val="24"/>
              </w:rPr>
            </w:pPr>
            <w:r>
              <w:rPr>
                <w:rFonts w:hint="eastAsia" w:ascii="宋体" w:hAnsi="宋体" w:eastAsia="宋体" w:cs="宋体"/>
                <w:sz w:val="24"/>
                <w:szCs w:val="24"/>
              </w:rPr>
              <w:t>项参数说明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1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申购设备名称</w:t>
            </w:r>
          </w:p>
        </w:tc>
        <w:tc>
          <w:tcPr>
            <w:tcW w:w="70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视频眼震图仪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70" w:hRule="atLeast"/>
        </w:trPr>
        <w:tc>
          <w:tcPr>
            <w:tcW w:w="21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用途及适用人群</w:t>
            </w:r>
          </w:p>
        </w:tc>
        <w:tc>
          <w:tcPr>
            <w:tcW w:w="7020" w:type="dxa"/>
            <w:tcBorders>
              <w:top w:val="single" w:color="auto" w:sz="4" w:space="0"/>
              <w:left w:val="single" w:color="auto" w:sz="4" w:space="0"/>
              <w:bottom w:val="single" w:color="auto" w:sz="4" w:space="0"/>
              <w:right w:val="single" w:color="auto" w:sz="4" w:space="0"/>
            </w:tcBorders>
            <w:noWrap w:val="0"/>
            <w:vAlign w:val="top"/>
          </w:tcPr>
          <w:p>
            <w:pPr>
              <w:ind w:firstLine="480" w:firstLineChars="20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用于对患者的前庭功能检测，通过高清红外摄像头对患者的眼球进行检查和记录眼球不自主活动的情况来判断眩晕的性质和类别。临床诊疗过程中，接诊的眩晕患者，首先进行视频眼震图仪检查，用来鉴别是中枢性眩晕，还是外周性眩晕，如外周性眩晕，可通过冷热试验明确具体是哪一侧的前庭功能异常，这也为患者做更详细的检查和治疗提供可靠的依据。</w:t>
            </w:r>
            <w:r>
              <w:rPr>
                <w:rFonts w:hint="eastAsia" w:ascii="宋体" w:hAnsi="宋体" w:eastAsia="宋体" w:cs="宋体"/>
                <w:color w:val="000000"/>
                <w:sz w:val="24"/>
                <w:szCs w:val="24"/>
                <w:lang w:val="en-US" w:eastAsia="zh-CN"/>
              </w:rPr>
              <w:t xml:space="preserve">    </w:t>
            </w:r>
          </w:p>
          <w:p>
            <w:pPr>
              <w:ind w:firstLine="480" w:firstLineChars="20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适用于眩晕、头晕、平衡障碍患者、偏头痛或疑似偏头痛者、飞行员、航天员、特殊作业人员等。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21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设备的功能要求</w:t>
            </w:r>
          </w:p>
        </w:tc>
        <w:tc>
          <w:tcPr>
            <w:tcW w:w="7020" w:type="dxa"/>
            <w:tcBorders>
              <w:top w:val="single" w:color="auto" w:sz="4" w:space="0"/>
              <w:left w:val="single" w:color="auto" w:sz="4" w:space="0"/>
              <w:bottom w:val="single" w:color="auto" w:sz="4" w:space="0"/>
              <w:right w:val="single" w:color="auto" w:sz="4" w:space="0"/>
            </w:tcBorders>
            <w:noWrap w:val="0"/>
            <w:vAlign w:val="top"/>
          </w:tcPr>
          <w:p>
            <w:pPr>
              <w:rPr>
                <w:rFonts w:hint="eastAsia"/>
                <w:sz w:val="28"/>
                <w:szCs w:val="28"/>
              </w:rPr>
            </w:pPr>
            <w:bookmarkStart w:id="6" w:name="_GoBack"/>
            <w:r>
              <w:rPr>
                <w:rFonts w:hint="eastAsia"/>
                <w:sz w:val="28"/>
                <w:szCs w:val="28"/>
              </w:rPr>
              <w:t>一</w:t>
            </w:r>
            <w:r>
              <w:rPr>
                <w:rFonts w:hint="eastAsia"/>
                <w:sz w:val="28"/>
                <w:szCs w:val="28"/>
                <w:lang w:eastAsia="zh-CN"/>
              </w:rPr>
              <w:t>、</w:t>
            </w:r>
            <w:r>
              <w:rPr>
                <w:rFonts w:hint="eastAsia"/>
                <w:sz w:val="28"/>
                <w:szCs w:val="28"/>
              </w:rPr>
              <w:t>核心诊断功能（必备）</w:t>
            </w:r>
          </w:p>
          <w:p>
            <w:pPr>
              <w:rPr>
                <w:rFonts w:hint="eastAsia"/>
                <w:sz w:val="28"/>
                <w:szCs w:val="28"/>
              </w:rPr>
            </w:pPr>
            <w:r>
              <w:rPr>
                <w:rFonts w:hint="eastAsia"/>
                <w:sz w:val="28"/>
                <w:szCs w:val="28"/>
              </w:rPr>
              <w:t>1.自发性眼震检查</w:t>
            </w:r>
          </w:p>
          <w:p>
            <w:pPr>
              <w:rPr>
                <w:rFonts w:hint="eastAsia"/>
                <w:sz w:val="28"/>
                <w:szCs w:val="28"/>
              </w:rPr>
            </w:pPr>
            <w:r>
              <w:rPr>
                <w:rFonts w:hint="eastAsia"/>
                <w:sz w:val="28"/>
                <w:szCs w:val="28"/>
              </w:rPr>
              <w:t>2.凝视试验</w:t>
            </w:r>
          </w:p>
          <w:p>
            <w:pPr>
              <w:rPr>
                <w:rFonts w:hint="eastAsia"/>
                <w:sz w:val="28"/>
                <w:szCs w:val="28"/>
              </w:rPr>
            </w:pPr>
            <w:r>
              <w:rPr>
                <w:rFonts w:hint="eastAsia"/>
                <w:sz w:val="28"/>
                <w:szCs w:val="28"/>
              </w:rPr>
              <w:t>3.平滑追踪试验</w:t>
            </w:r>
          </w:p>
          <w:p>
            <w:pPr>
              <w:rPr>
                <w:rFonts w:hint="eastAsia"/>
                <w:sz w:val="28"/>
                <w:szCs w:val="28"/>
              </w:rPr>
            </w:pPr>
            <w:r>
              <w:rPr>
                <w:rFonts w:hint="eastAsia"/>
                <w:sz w:val="28"/>
                <w:szCs w:val="28"/>
              </w:rPr>
              <w:t>4.扫视试验</w:t>
            </w:r>
          </w:p>
          <w:p>
            <w:pPr>
              <w:rPr>
                <w:rFonts w:hint="eastAsia"/>
                <w:sz w:val="28"/>
                <w:szCs w:val="28"/>
              </w:rPr>
            </w:pPr>
            <w:r>
              <w:rPr>
                <w:rFonts w:hint="eastAsia"/>
                <w:sz w:val="28"/>
                <w:szCs w:val="28"/>
              </w:rPr>
              <w:t>5.视动性眼震试验</w:t>
            </w:r>
          </w:p>
          <w:p>
            <w:pPr>
              <w:rPr>
                <w:rFonts w:hint="eastAsia"/>
                <w:sz w:val="28"/>
                <w:szCs w:val="28"/>
              </w:rPr>
            </w:pPr>
            <w:r>
              <w:rPr>
                <w:rFonts w:hint="eastAsia"/>
                <w:sz w:val="28"/>
                <w:szCs w:val="28"/>
              </w:rPr>
              <w:t>6.位置性试验</w:t>
            </w:r>
          </w:p>
          <w:p>
            <w:pPr>
              <w:rPr>
                <w:rFonts w:hint="eastAsia"/>
                <w:sz w:val="28"/>
                <w:szCs w:val="28"/>
              </w:rPr>
            </w:pPr>
            <w:r>
              <w:rPr>
                <w:rFonts w:hint="eastAsia"/>
                <w:sz w:val="28"/>
                <w:szCs w:val="28"/>
              </w:rPr>
              <w:t>7.变位试验</w:t>
            </w:r>
          </w:p>
          <w:p>
            <w:pPr>
              <w:rPr>
                <w:rFonts w:hint="eastAsia"/>
                <w:sz w:val="28"/>
                <w:szCs w:val="28"/>
              </w:rPr>
            </w:pPr>
            <w:r>
              <w:rPr>
                <w:rFonts w:hint="eastAsia"/>
                <w:sz w:val="28"/>
                <w:szCs w:val="28"/>
              </w:rPr>
              <w:t>8.温度试验：</w:t>
            </w:r>
          </w:p>
          <w:p>
            <w:pPr>
              <w:rPr>
                <w:rFonts w:hint="eastAsia"/>
                <w:sz w:val="28"/>
                <w:szCs w:val="28"/>
              </w:rPr>
            </w:pPr>
            <w:r>
              <w:rPr>
                <w:rFonts w:hint="eastAsia"/>
                <w:sz w:val="28"/>
                <w:szCs w:val="28"/>
              </w:rPr>
              <w:t>二、扩展功能（根据需求可选）</w:t>
            </w:r>
          </w:p>
          <w:p>
            <w:pPr>
              <w:rPr>
                <w:rFonts w:hint="eastAsia"/>
                <w:sz w:val="28"/>
                <w:szCs w:val="28"/>
              </w:rPr>
            </w:pPr>
            <w:r>
              <w:rPr>
                <w:rFonts w:hint="eastAsia"/>
                <w:sz w:val="28"/>
                <w:szCs w:val="28"/>
              </w:rPr>
              <w:t>1.视频头脉冲试验</w:t>
            </w:r>
          </w:p>
          <w:p>
            <w:pPr>
              <w:rPr>
                <w:rFonts w:hint="eastAsia"/>
                <w:sz w:val="28"/>
                <w:szCs w:val="28"/>
              </w:rPr>
            </w:pPr>
            <w:r>
              <w:rPr>
                <w:rFonts w:hint="eastAsia"/>
                <w:sz w:val="28"/>
                <w:szCs w:val="28"/>
              </w:rPr>
              <w:t>2.主观视觉垂直线/水平线测试</w:t>
            </w:r>
          </w:p>
          <w:p>
            <w:pPr>
              <w:rPr>
                <w:rFonts w:hint="eastAsia"/>
                <w:sz w:val="28"/>
                <w:szCs w:val="28"/>
              </w:rPr>
            </w:pPr>
            <w:r>
              <w:rPr>
                <w:rFonts w:hint="eastAsia"/>
                <w:sz w:val="28"/>
                <w:szCs w:val="28"/>
              </w:rPr>
              <w:t>3</w:t>
            </w:r>
            <w:r>
              <w:rPr>
                <w:rFonts w:hint="eastAsia"/>
                <w:sz w:val="28"/>
                <w:szCs w:val="28"/>
                <w:lang w:eastAsia="zh-CN"/>
              </w:rPr>
              <w:t>.</w:t>
            </w:r>
            <w:r>
              <w:rPr>
                <w:rFonts w:hint="eastAsia"/>
                <w:sz w:val="28"/>
                <w:szCs w:val="28"/>
              </w:rPr>
              <w:t>动态视敏度测试</w:t>
            </w:r>
          </w:p>
          <w:p>
            <w:pPr>
              <w:rPr>
                <w:rFonts w:hint="eastAsia"/>
                <w:sz w:val="28"/>
                <w:szCs w:val="28"/>
              </w:rPr>
            </w:pPr>
            <w:r>
              <w:rPr>
                <w:rFonts w:hint="eastAsia"/>
                <w:sz w:val="28"/>
                <w:szCs w:val="28"/>
              </w:rPr>
              <w:t>4.转椅试验</w:t>
            </w:r>
          </w:p>
          <w:p>
            <w:pPr>
              <w:rPr>
                <w:rFonts w:hint="eastAsia"/>
                <w:sz w:val="28"/>
                <w:szCs w:val="28"/>
              </w:rPr>
            </w:pPr>
            <w:r>
              <w:rPr>
                <w:rFonts w:hint="eastAsia"/>
                <w:sz w:val="28"/>
                <w:szCs w:val="28"/>
              </w:rPr>
              <w:t>5.主动头动试验</w:t>
            </w:r>
          </w:p>
          <w:p>
            <w:pPr>
              <w:rPr>
                <w:rFonts w:hint="eastAsia"/>
                <w:sz w:val="28"/>
                <w:szCs w:val="28"/>
              </w:rPr>
            </w:pPr>
            <w:r>
              <w:rPr>
                <w:rFonts w:hint="eastAsia"/>
                <w:sz w:val="28"/>
                <w:szCs w:val="28"/>
              </w:rPr>
              <w:t>6.固视抑制试验</w:t>
            </w:r>
          </w:p>
          <w:p>
            <w:pPr>
              <w:rPr>
                <w:rFonts w:hint="eastAsia"/>
                <w:sz w:val="28"/>
                <w:szCs w:val="28"/>
              </w:rPr>
            </w:pPr>
            <w:r>
              <w:rPr>
                <w:rFonts w:hint="eastAsia"/>
                <w:sz w:val="28"/>
                <w:szCs w:val="28"/>
              </w:rPr>
              <w:t>三、硬件与采集系统要求</w:t>
            </w:r>
          </w:p>
          <w:p>
            <w:pPr>
              <w:rPr>
                <w:rFonts w:hint="eastAsia"/>
                <w:sz w:val="28"/>
                <w:szCs w:val="28"/>
              </w:rPr>
            </w:pPr>
            <w:r>
              <w:rPr>
                <w:rFonts w:hint="eastAsia"/>
                <w:sz w:val="28"/>
                <w:szCs w:val="28"/>
              </w:rPr>
              <w:t>1.高分辨率摄像头：至少≥30fps，推荐60fps或以上，确保能捕捉到快速的眼震细节（如快相速度）。</w:t>
            </w:r>
          </w:p>
          <w:p>
            <w:pPr>
              <w:rPr>
                <w:rFonts w:hint="eastAsia"/>
                <w:sz w:val="28"/>
                <w:szCs w:val="28"/>
              </w:rPr>
            </w:pPr>
            <w:r>
              <w:rPr>
                <w:rFonts w:hint="eastAsia"/>
                <w:sz w:val="28"/>
                <w:szCs w:val="28"/>
              </w:rPr>
              <w:t>2.高精度红外光源：确保在黑暗中能清晰拍摄瞳孔，且对患者安全无刺激。</w:t>
            </w:r>
          </w:p>
          <w:p>
            <w:pPr>
              <w:rPr>
                <w:rFonts w:hint="eastAsia"/>
                <w:sz w:val="28"/>
                <w:szCs w:val="28"/>
              </w:rPr>
            </w:pPr>
            <w:r>
              <w:rPr>
                <w:rFonts w:hint="eastAsia"/>
                <w:sz w:val="28"/>
                <w:szCs w:val="28"/>
              </w:rPr>
              <w:t>3.眼罩/护目镜：</w:t>
            </w:r>
          </w:p>
          <w:p>
            <w:pPr>
              <w:ind w:firstLine="840" w:firstLineChars="300"/>
              <w:rPr>
                <w:rFonts w:hint="eastAsia"/>
                <w:sz w:val="28"/>
                <w:szCs w:val="28"/>
              </w:rPr>
            </w:pPr>
            <w:r>
              <w:rPr>
                <w:rFonts w:hint="eastAsia"/>
                <w:sz w:val="28"/>
                <w:szCs w:val="28"/>
              </w:rPr>
              <w:t>轻便舒适，适合不同头型。</w:t>
            </w:r>
          </w:p>
          <w:p>
            <w:pPr>
              <w:ind w:firstLine="840" w:firstLineChars="300"/>
              <w:rPr>
                <w:rFonts w:hint="eastAsia"/>
                <w:sz w:val="28"/>
                <w:szCs w:val="28"/>
              </w:rPr>
            </w:pPr>
            <w:r>
              <w:rPr>
                <w:rFonts w:hint="eastAsia"/>
                <w:sz w:val="28"/>
                <w:szCs w:val="28"/>
              </w:rPr>
              <w:t>有效隔绝光线，保证暗室条件。</w:t>
            </w:r>
          </w:p>
          <w:p>
            <w:pPr>
              <w:ind w:firstLine="840" w:firstLineChars="300"/>
              <w:rPr>
                <w:rFonts w:hint="eastAsia"/>
                <w:sz w:val="28"/>
                <w:szCs w:val="28"/>
              </w:rPr>
            </w:pPr>
            <w:r>
              <w:rPr>
                <w:rFonts w:hint="eastAsia"/>
                <w:sz w:val="28"/>
                <w:szCs w:val="28"/>
              </w:rPr>
              <w:t>内置摄像头和红外光源位置精确、稳固。</w:t>
            </w:r>
          </w:p>
          <w:p>
            <w:pPr>
              <w:rPr>
                <w:rFonts w:hint="eastAsia"/>
                <w:sz w:val="28"/>
                <w:szCs w:val="28"/>
              </w:rPr>
            </w:pPr>
            <w:r>
              <w:rPr>
                <w:rFonts w:hint="eastAsia"/>
                <w:sz w:val="28"/>
                <w:szCs w:val="28"/>
              </w:rPr>
              <w:t>4.位置试验台/床：应稳固、可灵活调节，能安全、平稳地辅助患者完成Dix-Hallpike等位置变换。</w:t>
            </w:r>
          </w:p>
          <w:p>
            <w:pPr>
              <w:rPr>
                <w:rFonts w:hint="eastAsia"/>
                <w:sz w:val="28"/>
                <w:szCs w:val="28"/>
              </w:rPr>
            </w:pPr>
            <w:r>
              <w:rPr>
                <w:rFonts w:hint="eastAsia"/>
                <w:sz w:val="28"/>
                <w:szCs w:val="28"/>
              </w:rPr>
              <w:t>5.刺激系统：</w:t>
            </w:r>
          </w:p>
          <w:p>
            <w:pPr>
              <w:ind w:firstLine="560" w:firstLineChars="200"/>
              <w:rPr>
                <w:rFonts w:hint="eastAsia"/>
                <w:sz w:val="28"/>
                <w:szCs w:val="28"/>
              </w:rPr>
            </w:pPr>
            <w:r>
              <w:rPr>
                <w:rFonts w:hint="eastAsia"/>
                <w:sz w:val="28"/>
                <w:szCs w:val="28"/>
              </w:rPr>
              <w:t>视靶投射系统：激光或LED投影，移动范围大、速度精确可调。</w:t>
            </w:r>
          </w:p>
          <w:p>
            <w:pPr>
              <w:ind w:firstLine="560" w:firstLineChars="200"/>
              <w:rPr>
                <w:rFonts w:hint="eastAsia"/>
                <w:sz w:val="28"/>
                <w:szCs w:val="28"/>
              </w:rPr>
            </w:pPr>
            <w:r>
              <w:rPr>
                <w:rFonts w:hint="eastAsia"/>
                <w:sz w:val="28"/>
                <w:szCs w:val="28"/>
              </w:rPr>
              <w:t>视动鼓/视动罩：提供全视野视动刺激。</w:t>
            </w:r>
          </w:p>
          <w:p>
            <w:pPr>
              <w:ind w:firstLine="560" w:firstLineChars="200"/>
              <w:rPr>
                <w:rFonts w:hint="eastAsia"/>
                <w:sz w:val="28"/>
                <w:szCs w:val="28"/>
              </w:rPr>
            </w:pPr>
            <w:r>
              <w:rPr>
                <w:rFonts w:hint="eastAsia"/>
                <w:sz w:val="28"/>
                <w:szCs w:val="28"/>
              </w:rPr>
              <w:t>温度刺激仪：温度控制精确（如±0.1°C），气流/水流量稳定，配有一次性耳塞/喷嘴以防交叉感染。</w:t>
            </w:r>
          </w:p>
          <w:p>
            <w:pPr>
              <w:rPr>
                <w:rFonts w:hint="eastAsia"/>
                <w:sz w:val="28"/>
                <w:szCs w:val="28"/>
              </w:rPr>
            </w:pPr>
            <w:r>
              <w:rPr>
                <w:rFonts w:hint="eastAsia"/>
                <w:sz w:val="28"/>
                <w:szCs w:val="28"/>
              </w:rPr>
              <w:t>6.校准系统：快速、简便、准确的瞳孔校准程序。</w:t>
            </w:r>
          </w:p>
          <w:p>
            <w:pPr>
              <w:rPr>
                <w:rFonts w:hint="eastAsia"/>
                <w:sz w:val="28"/>
                <w:szCs w:val="28"/>
              </w:rPr>
            </w:pPr>
            <w:r>
              <w:rPr>
                <w:rFonts w:hint="eastAsia"/>
                <w:sz w:val="28"/>
                <w:szCs w:val="28"/>
              </w:rPr>
              <w:t>四、软件与分析系统要求</w:t>
            </w:r>
          </w:p>
          <w:p>
            <w:pPr>
              <w:rPr>
                <w:rFonts w:hint="eastAsia"/>
                <w:sz w:val="28"/>
                <w:szCs w:val="28"/>
              </w:rPr>
            </w:pPr>
            <w:r>
              <w:rPr>
                <w:rFonts w:hint="eastAsia"/>
                <w:sz w:val="28"/>
                <w:szCs w:val="28"/>
              </w:rPr>
              <w:t>1.自动分析与人工修正：</w:t>
            </w:r>
          </w:p>
          <w:p>
            <w:pPr>
              <w:ind w:firstLine="560" w:firstLineChars="200"/>
              <w:rPr>
                <w:rFonts w:hint="eastAsia"/>
                <w:sz w:val="28"/>
                <w:szCs w:val="28"/>
              </w:rPr>
            </w:pPr>
            <w:r>
              <w:rPr>
                <w:rFonts w:hint="eastAsia"/>
                <w:sz w:val="28"/>
                <w:szCs w:val="28"/>
              </w:rPr>
              <w:t>强大的算法：能自动识别和标记眼震的快相、慢相，计算关键参数（慢相角速度、频率、增益、对称性等）。</w:t>
            </w:r>
          </w:p>
          <w:p>
            <w:pPr>
              <w:ind w:firstLine="560" w:firstLineChars="200"/>
              <w:rPr>
                <w:rFonts w:hint="eastAsia"/>
                <w:sz w:val="28"/>
                <w:szCs w:val="28"/>
              </w:rPr>
            </w:pPr>
            <w:r>
              <w:rPr>
                <w:rFonts w:hint="eastAsia"/>
                <w:sz w:val="28"/>
                <w:szCs w:val="28"/>
              </w:rPr>
              <w:t>灵活的手动修正工具：允许操作者对自动分析结果进行校对和调整，以应对复杂或微弱的眼震信号。</w:t>
            </w:r>
          </w:p>
          <w:p>
            <w:pPr>
              <w:rPr>
                <w:rFonts w:hint="eastAsia"/>
                <w:sz w:val="28"/>
                <w:szCs w:val="28"/>
              </w:rPr>
            </w:pPr>
            <w:r>
              <w:rPr>
                <w:rFonts w:hint="eastAsia"/>
                <w:sz w:val="28"/>
                <w:szCs w:val="28"/>
              </w:rPr>
              <w:t>2.实时显示与回放：</w:t>
            </w:r>
          </w:p>
          <w:p>
            <w:pPr>
              <w:ind w:firstLine="840" w:firstLineChars="300"/>
              <w:rPr>
                <w:rFonts w:hint="eastAsia"/>
                <w:sz w:val="28"/>
                <w:szCs w:val="28"/>
              </w:rPr>
            </w:pPr>
            <w:r>
              <w:rPr>
                <w:rFonts w:hint="eastAsia"/>
                <w:sz w:val="28"/>
                <w:szCs w:val="28"/>
              </w:rPr>
              <w:t>实时显示眼球运动轨迹、速度波形。所有测试视频和轨迹均可完整回放。</w:t>
            </w:r>
          </w:p>
          <w:p>
            <w:pPr>
              <w:rPr>
                <w:rFonts w:hint="eastAsia"/>
                <w:sz w:val="28"/>
                <w:szCs w:val="28"/>
              </w:rPr>
            </w:pPr>
            <w:r>
              <w:rPr>
                <w:rFonts w:hint="eastAsia"/>
                <w:sz w:val="28"/>
                <w:szCs w:val="28"/>
              </w:rPr>
              <w:t>3.标准化报告生成：</w:t>
            </w:r>
          </w:p>
          <w:p>
            <w:pPr>
              <w:ind w:firstLine="560" w:firstLineChars="200"/>
              <w:rPr>
                <w:rFonts w:hint="eastAsia"/>
                <w:sz w:val="28"/>
                <w:szCs w:val="28"/>
              </w:rPr>
            </w:pPr>
            <w:r>
              <w:rPr>
                <w:rFonts w:hint="eastAsia"/>
                <w:sz w:val="28"/>
                <w:szCs w:val="28"/>
              </w:rPr>
              <w:t>自动生成结构清晰、图文并茂的标准化报告。</w:t>
            </w:r>
          </w:p>
          <w:p>
            <w:pPr>
              <w:rPr>
                <w:rFonts w:hint="eastAsia"/>
                <w:sz w:val="28"/>
                <w:szCs w:val="28"/>
              </w:rPr>
            </w:pPr>
            <w:r>
              <w:rPr>
                <w:rFonts w:hint="eastAsia"/>
                <w:sz w:val="28"/>
                <w:szCs w:val="28"/>
              </w:rPr>
              <w:t>包含所有测试的原始数据、分析结果、正常值参考范围以及异常提示。</w:t>
            </w:r>
          </w:p>
          <w:p>
            <w:pPr>
              <w:rPr>
                <w:rFonts w:hint="eastAsia"/>
                <w:sz w:val="28"/>
                <w:szCs w:val="28"/>
              </w:rPr>
            </w:pPr>
            <w:r>
              <w:rPr>
                <w:rFonts w:hint="eastAsia"/>
                <w:sz w:val="28"/>
                <w:szCs w:val="28"/>
              </w:rPr>
              <w:t>支持自定义报告模板，以适应不同医疗机构的需求。</w:t>
            </w:r>
          </w:p>
          <w:p>
            <w:pPr>
              <w:rPr>
                <w:rFonts w:hint="eastAsia"/>
                <w:sz w:val="28"/>
                <w:szCs w:val="28"/>
              </w:rPr>
            </w:pPr>
            <w:r>
              <w:rPr>
                <w:rFonts w:hint="eastAsia"/>
                <w:sz w:val="28"/>
                <w:szCs w:val="28"/>
              </w:rPr>
              <w:t>4.数据库管理：</w:t>
            </w:r>
          </w:p>
          <w:p>
            <w:pPr>
              <w:rPr>
                <w:rFonts w:hint="eastAsia"/>
                <w:sz w:val="28"/>
                <w:szCs w:val="28"/>
              </w:rPr>
            </w:pPr>
            <w:r>
              <w:rPr>
                <w:rFonts w:hint="eastAsia"/>
                <w:sz w:val="28"/>
                <w:szCs w:val="28"/>
              </w:rPr>
              <w:t>完善的患者档案管理系统。</w:t>
            </w:r>
          </w:p>
          <w:p>
            <w:pPr>
              <w:rPr>
                <w:rFonts w:hint="eastAsia"/>
                <w:sz w:val="28"/>
                <w:szCs w:val="28"/>
              </w:rPr>
            </w:pPr>
            <w:r>
              <w:rPr>
                <w:rFonts w:hint="eastAsia"/>
                <w:sz w:val="28"/>
                <w:szCs w:val="28"/>
              </w:rPr>
              <w:t>支持数据导出（如CSV、PDF格式）。</w:t>
            </w:r>
          </w:p>
          <w:p>
            <w:pPr>
              <w:rPr>
                <w:rFonts w:hint="eastAsia"/>
                <w:sz w:val="28"/>
                <w:szCs w:val="28"/>
              </w:rPr>
            </w:pPr>
            <w:r>
              <w:rPr>
                <w:rFonts w:hint="eastAsia"/>
                <w:sz w:val="28"/>
                <w:szCs w:val="28"/>
              </w:rPr>
              <w:t>具备数据备份和恢复功能。</w:t>
            </w:r>
          </w:p>
          <w:p>
            <w:pPr>
              <w:rPr>
                <w:rFonts w:hint="eastAsia"/>
                <w:sz w:val="28"/>
                <w:szCs w:val="28"/>
              </w:rPr>
            </w:pPr>
            <w:r>
              <w:rPr>
                <w:rFonts w:hint="eastAsia"/>
                <w:sz w:val="28"/>
                <w:szCs w:val="28"/>
              </w:rPr>
              <w:t>5.用户友好界面：</w:t>
            </w:r>
          </w:p>
          <w:p>
            <w:pPr>
              <w:rPr>
                <w:rFonts w:hint="eastAsia"/>
                <w:sz w:val="28"/>
                <w:szCs w:val="28"/>
              </w:rPr>
            </w:pPr>
            <w:r>
              <w:rPr>
                <w:rFonts w:hint="eastAsia"/>
                <w:sz w:val="28"/>
                <w:szCs w:val="28"/>
              </w:rPr>
              <w:t>流程化操作向导。</w:t>
            </w:r>
          </w:p>
          <w:p>
            <w:pPr>
              <w:rPr>
                <w:rFonts w:hint="eastAsia"/>
                <w:sz w:val="28"/>
                <w:szCs w:val="28"/>
              </w:rPr>
            </w:pPr>
            <w:r>
              <w:rPr>
                <w:rFonts w:hint="eastAsia"/>
                <w:sz w:val="28"/>
                <w:szCs w:val="28"/>
              </w:rPr>
              <w:t>界面直观，测试项目易于选择和启动。</w:t>
            </w:r>
          </w:p>
          <w:p>
            <w:pPr>
              <w:rPr>
                <w:rFonts w:hint="eastAsia"/>
                <w:sz w:val="28"/>
                <w:szCs w:val="28"/>
              </w:rPr>
            </w:pPr>
            <w:r>
              <w:rPr>
                <w:rFonts w:hint="eastAsia"/>
                <w:sz w:val="28"/>
                <w:szCs w:val="28"/>
              </w:rPr>
              <w:t>五、通用与合规性要求</w:t>
            </w:r>
          </w:p>
          <w:p>
            <w:pPr>
              <w:rPr>
                <w:rFonts w:hint="eastAsia"/>
                <w:sz w:val="28"/>
                <w:szCs w:val="28"/>
              </w:rPr>
            </w:pPr>
            <w:r>
              <w:rPr>
                <w:rFonts w:hint="eastAsia"/>
                <w:sz w:val="28"/>
                <w:szCs w:val="28"/>
              </w:rPr>
              <w:t>1.安全性与舒适性：</w:t>
            </w:r>
          </w:p>
          <w:p>
            <w:pPr>
              <w:rPr>
                <w:rFonts w:hint="eastAsia"/>
                <w:sz w:val="28"/>
                <w:szCs w:val="28"/>
              </w:rPr>
            </w:pPr>
            <w:r>
              <w:rPr>
                <w:rFonts w:hint="eastAsia"/>
                <w:sz w:val="28"/>
                <w:szCs w:val="28"/>
              </w:rPr>
              <w:t>符合医疗电气设备安全标准（如IEC 60601）。</w:t>
            </w:r>
          </w:p>
          <w:p>
            <w:pPr>
              <w:rPr>
                <w:rFonts w:hint="eastAsia"/>
                <w:sz w:val="28"/>
                <w:szCs w:val="28"/>
              </w:rPr>
            </w:pPr>
            <w:r>
              <w:rPr>
                <w:rFonts w:hint="eastAsia"/>
                <w:sz w:val="28"/>
                <w:szCs w:val="28"/>
              </w:rPr>
              <w:t>所有接触患者的部件易于清洁消毒。</w:t>
            </w:r>
          </w:p>
          <w:p>
            <w:pPr>
              <w:rPr>
                <w:rFonts w:hint="eastAsia"/>
                <w:sz w:val="28"/>
                <w:szCs w:val="28"/>
              </w:rPr>
            </w:pPr>
            <w:r>
              <w:rPr>
                <w:rFonts w:hint="eastAsia"/>
                <w:sz w:val="28"/>
                <w:szCs w:val="28"/>
              </w:rPr>
              <w:t>测试过程应考虑患者可能出现的眩晕、恶心反应，操作床应有安全束缚装置。</w:t>
            </w:r>
          </w:p>
          <w:p>
            <w:pPr>
              <w:rPr>
                <w:rFonts w:hint="eastAsia"/>
                <w:sz w:val="28"/>
                <w:szCs w:val="28"/>
              </w:rPr>
            </w:pPr>
            <w:r>
              <w:rPr>
                <w:rFonts w:hint="eastAsia"/>
                <w:sz w:val="28"/>
                <w:szCs w:val="28"/>
              </w:rPr>
              <w:t>2.准确性与可靠性：</w:t>
            </w:r>
          </w:p>
          <w:p>
            <w:pPr>
              <w:rPr>
                <w:rFonts w:hint="eastAsia"/>
                <w:sz w:val="28"/>
                <w:szCs w:val="28"/>
              </w:rPr>
            </w:pPr>
            <w:r>
              <w:rPr>
                <w:rFonts w:hint="eastAsia"/>
                <w:sz w:val="28"/>
                <w:szCs w:val="28"/>
              </w:rPr>
              <w:t>系统稳定，抗干扰能力强。</w:t>
            </w:r>
          </w:p>
          <w:p>
            <w:pPr>
              <w:rPr>
                <w:rFonts w:hint="eastAsia"/>
                <w:sz w:val="28"/>
                <w:szCs w:val="28"/>
              </w:rPr>
            </w:pPr>
            <w:r>
              <w:rPr>
                <w:rFonts w:hint="eastAsia"/>
                <w:sz w:val="28"/>
                <w:szCs w:val="28"/>
              </w:rPr>
              <w:t>测量精度高，重复性好。</w:t>
            </w:r>
          </w:p>
          <w:p>
            <w:pPr>
              <w:rPr>
                <w:rFonts w:hint="eastAsia"/>
                <w:sz w:val="28"/>
                <w:szCs w:val="28"/>
              </w:rPr>
            </w:pPr>
            <w:r>
              <w:rPr>
                <w:rFonts w:hint="eastAsia"/>
                <w:sz w:val="28"/>
                <w:szCs w:val="28"/>
              </w:rPr>
              <w:t>3.培训与售后服务：</w:t>
            </w:r>
          </w:p>
          <w:p>
            <w:pPr>
              <w:rPr>
                <w:rFonts w:hint="eastAsia"/>
                <w:sz w:val="28"/>
                <w:szCs w:val="28"/>
              </w:rPr>
            </w:pPr>
            <w:r>
              <w:rPr>
                <w:rFonts w:hint="eastAsia"/>
                <w:sz w:val="28"/>
                <w:szCs w:val="28"/>
              </w:rPr>
              <w:t>供应商应提供全面的操作培训和临床解读培训。</w:t>
            </w:r>
          </w:p>
          <w:p>
            <w:pPr>
              <w:rPr>
                <w:rFonts w:hint="eastAsia"/>
                <w:sz w:val="28"/>
                <w:szCs w:val="28"/>
              </w:rPr>
            </w:pPr>
            <w:r>
              <w:rPr>
                <w:rFonts w:hint="eastAsia"/>
                <w:sz w:val="28"/>
                <w:szCs w:val="28"/>
              </w:rPr>
              <w:t>提供可靠的技术支持和快速的维修服务。</w:t>
            </w:r>
          </w:p>
          <w:p>
            <w:pPr>
              <w:rPr>
                <w:rFonts w:hint="eastAsia"/>
                <w:sz w:val="28"/>
                <w:szCs w:val="28"/>
              </w:rPr>
            </w:pPr>
            <w:r>
              <w:rPr>
                <w:rFonts w:hint="eastAsia"/>
                <w:sz w:val="28"/>
                <w:szCs w:val="28"/>
              </w:rPr>
              <w:t>4.法规认证：</w:t>
            </w:r>
          </w:p>
          <w:p>
            <w:pPr>
              <w:rPr>
                <w:rFonts w:hint="eastAsia" w:ascii="宋体" w:hAnsi="宋体" w:eastAsia="宋体" w:cs="宋体"/>
                <w:sz w:val="24"/>
                <w:szCs w:val="24"/>
              </w:rPr>
            </w:pPr>
            <w:r>
              <w:rPr>
                <w:rFonts w:hint="eastAsia"/>
                <w:sz w:val="28"/>
                <w:szCs w:val="28"/>
              </w:rPr>
              <w:t>获得所在国家或地区的市场准入认证（如中国NMPA、美国FDA、欧盟CE认证）。</w:t>
            </w:r>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21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功能的技术指标及其他技术参数</w:t>
            </w:r>
          </w:p>
        </w:tc>
        <w:tc>
          <w:tcPr>
            <w:tcW w:w="7020" w:type="dxa"/>
            <w:tcBorders>
              <w:top w:val="single" w:color="auto" w:sz="4" w:space="0"/>
              <w:left w:val="single" w:color="auto" w:sz="4" w:space="0"/>
              <w:bottom w:val="single" w:color="auto" w:sz="4" w:space="0"/>
              <w:right w:val="single" w:color="auto" w:sz="4" w:space="0"/>
            </w:tcBorders>
            <w:noWrap w:val="0"/>
            <w:vAlign w:val="top"/>
          </w:tcPr>
          <w:p>
            <w:pPr>
              <w:numPr>
                <w:ilvl w:val="0"/>
                <w:numId w:val="0"/>
              </w:numPr>
              <w:ind w:leftChars="0"/>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2" w:hRule="atLeast"/>
        </w:trPr>
        <w:tc>
          <w:tcPr>
            <w:tcW w:w="21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软、硬件的</w:t>
            </w:r>
          </w:p>
          <w:p>
            <w:pPr>
              <w:ind w:firstLine="360" w:firstLineChars="150"/>
              <w:jc w:val="center"/>
              <w:rPr>
                <w:rFonts w:hint="eastAsia" w:ascii="宋体" w:hAnsi="宋体" w:eastAsia="宋体" w:cs="宋体"/>
                <w:sz w:val="24"/>
                <w:szCs w:val="24"/>
              </w:rPr>
            </w:pPr>
            <w:r>
              <w:rPr>
                <w:rFonts w:hint="eastAsia" w:ascii="宋体" w:hAnsi="宋体" w:eastAsia="宋体" w:cs="宋体"/>
                <w:sz w:val="24"/>
                <w:szCs w:val="24"/>
              </w:rPr>
              <w:t>配置要求</w:t>
            </w:r>
          </w:p>
        </w:tc>
        <w:tc>
          <w:tcPr>
            <w:tcW w:w="7020" w:type="dxa"/>
            <w:tcBorders>
              <w:top w:val="single" w:color="auto" w:sz="4" w:space="0"/>
              <w:left w:val="single" w:color="auto" w:sz="4" w:space="0"/>
              <w:bottom w:val="single" w:color="auto" w:sz="4" w:space="0"/>
              <w:right w:val="single" w:color="auto" w:sz="4" w:space="0"/>
            </w:tcBorders>
            <w:noWrap w:val="0"/>
            <w:vAlign w:val="top"/>
          </w:tcPr>
          <w:p>
            <w:pPr>
              <w:numPr>
                <w:ilvl w:val="0"/>
                <w:numId w:val="0"/>
              </w:numPr>
              <w:ind w:leftChars="0"/>
              <w:rPr>
                <w:rFonts w:hint="eastAsia" w:ascii="宋体" w:hAnsi="宋体" w:eastAsia="宋体" w:cs="宋体"/>
                <w:sz w:val="24"/>
                <w:szCs w:val="24"/>
              </w:rPr>
            </w:pPr>
            <w:r>
              <w:rPr>
                <w:rFonts w:hint="eastAsia" w:ascii="宋体" w:hAnsi="宋体" w:eastAsia="宋体" w:cs="宋体"/>
                <w:sz w:val="24"/>
                <w:szCs w:val="24"/>
              </w:rPr>
              <w:t>配置清单</w:t>
            </w:r>
          </w:p>
          <w:p>
            <w:pPr>
              <w:numPr>
                <w:ilvl w:val="0"/>
                <w:numId w:val="0"/>
              </w:numPr>
              <w:ind w:leftChars="0"/>
              <w:rPr>
                <w:rFonts w:hint="eastAsia" w:ascii="宋体" w:hAnsi="宋体" w:eastAsia="宋体" w:cs="宋体"/>
                <w:sz w:val="24"/>
                <w:szCs w:val="24"/>
              </w:rPr>
            </w:pPr>
            <w:r>
              <w:rPr>
                <w:rFonts w:hint="eastAsia" w:ascii="宋体" w:hAnsi="宋体" w:eastAsia="宋体" w:cs="宋体"/>
                <w:sz w:val="24"/>
                <w:szCs w:val="24"/>
              </w:rPr>
              <w:t>1.高清红外视频眼罩</w:t>
            </w:r>
          </w:p>
          <w:p>
            <w:pPr>
              <w:numPr>
                <w:ilvl w:val="0"/>
                <w:numId w:val="0"/>
              </w:numPr>
              <w:ind w:leftChars="0"/>
              <w:rPr>
                <w:rFonts w:hint="eastAsia" w:ascii="宋体" w:hAnsi="宋体" w:eastAsia="宋体" w:cs="宋体"/>
                <w:sz w:val="24"/>
                <w:szCs w:val="24"/>
              </w:rPr>
            </w:pPr>
            <w:r>
              <w:rPr>
                <w:rFonts w:hint="eastAsia" w:ascii="宋体" w:hAnsi="宋体" w:eastAsia="宋体" w:cs="宋体"/>
                <w:sz w:val="24"/>
                <w:szCs w:val="24"/>
              </w:rPr>
              <w:t>2.全视野刺激视靶</w:t>
            </w:r>
          </w:p>
          <w:p>
            <w:pPr>
              <w:numPr>
                <w:ilvl w:val="0"/>
                <w:numId w:val="0"/>
              </w:numPr>
              <w:ind w:leftChars="0"/>
              <w:rPr>
                <w:rFonts w:hint="eastAsia" w:ascii="宋体" w:hAnsi="宋体" w:eastAsia="宋体" w:cs="宋体"/>
                <w:sz w:val="24"/>
                <w:szCs w:val="24"/>
              </w:rPr>
            </w:pPr>
            <w:r>
              <w:rPr>
                <w:rFonts w:hint="eastAsia" w:ascii="宋体" w:hAnsi="宋体" w:eastAsia="宋体" w:cs="宋体"/>
                <w:sz w:val="24"/>
                <w:szCs w:val="24"/>
              </w:rPr>
              <w:t>3.主机带软件工作站 （含电脑，打印机）</w:t>
            </w:r>
          </w:p>
          <w:p>
            <w:pPr>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场景摄像系统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21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其它要求</w:t>
            </w:r>
          </w:p>
        </w:tc>
        <w:tc>
          <w:tcPr>
            <w:tcW w:w="702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120" w:lineRule="auto"/>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1.设备使用期≥6年，设备的生产日期和合同签订的时间间隔不大于6个月。</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120" w:lineRule="auto"/>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bookmarkStart w:id="0" w:name="OLE_LINK2"/>
            <w:bookmarkStart w:id="1" w:name="OLE_LINK3"/>
            <w:bookmarkStart w:id="2" w:name="OLE_LINK5"/>
            <w:bookmarkStart w:id="3" w:name="OLE_LINK4"/>
            <w:r>
              <w:rPr>
                <w:rFonts w:hint="eastAsia" w:ascii="宋体" w:hAnsi="宋体" w:eastAsia="宋体" w:cs="宋体"/>
                <w:color w:val="auto"/>
                <w:sz w:val="24"/>
                <w:szCs w:val="24"/>
                <w:lang w:val="en-US" w:eastAsia="zh-CN"/>
              </w:rPr>
              <w:t>整机免费质保≥3年；设备设计使用的耗材必须为开放的耗材，并提供阳光网能点配价格，验收时提供三个以上厂家的耗材使用进行验收。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120" w:lineRule="auto"/>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3.验收同时提供纸质版和电子版产品说明书。</w:t>
            </w:r>
            <w:bookmarkEnd w:id="0"/>
            <w:bookmarkEnd w:id="1"/>
            <w:bookmarkEnd w:id="2"/>
            <w:bookmarkEnd w:id="3"/>
            <w:r>
              <w:rPr>
                <w:rFonts w:hint="eastAsia" w:ascii="宋体" w:hAnsi="宋体" w:eastAsia="宋体" w:cs="宋体"/>
                <w:color w:val="auto"/>
                <w:sz w:val="24"/>
                <w:szCs w:val="24"/>
                <w:lang w:val="en-US" w:eastAsia="zh-CN"/>
              </w:rPr>
              <w:t>供货时应同时附上中文使用说明书（包括纸质版和电子版）。</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120" w:lineRule="auto"/>
              <w:ind w:left="0" w:right="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w:t>
            </w:r>
            <w:bookmarkStart w:id="4" w:name="OLE_LINK6"/>
            <w:bookmarkStart w:id="5" w:name="OLE_LINK7"/>
            <w:r>
              <w:rPr>
                <w:rFonts w:hint="eastAsia" w:ascii="宋体" w:hAnsi="宋体" w:eastAsia="宋体" w:cs="宋体"/>
                <w:color w:val="auto"/>
                <w:sz w:val="24"/>
                <w:szCs w:val="24"/>
                <w:lang w:val="en-US" w:eastAsia="zh-CN"/>
              </w:rPr>
              <w:t>为确保设备的售后服务质量，乙方必须提供其厂家免费质保三年的售后服务承诺书，包括设备厂家提供产品的终身免费升级服务。</w:t>
            </w:r>
            <w:bookmarkEnd w:id="4"/>
            <w:bookmarkEnd w:id="5"/>
          </w:p>
          <w:p>
            <w:pPr>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5.设备数据涉及接入我院HIS网络的，验收时按我院要求能查询到HIS网络数据，产生的费用全部由中标方承担</w:t>
            </w:r>
            <w:r>
              <w:rPr>
                <w:rFonts w:hint="eastAsia" w:ascii="宋体" w:hAnsi="宋体" w:eastAsia="宋体" w:cs="宋体"/>
                <w:color w:val="auto"/>
                <w:sz w:val="24"/>
                <w:szCs w:val="24"/>
              </w:rPr>
              <w:t>。</w:t>
            </w:r>
          </w:p>
          <w:p>
            <w:pPr>
              <w:spacing w:line="40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．在广西省内设有办事处，配备售后服务工程师，定期巡检培训；</w:t>
            </w:r>
          </w:p>
          <w:p>
            <w:pPr>
              <w:spacing w:line="40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．产品零配件国内供应及时；设备主机保修</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3年；终身维护；</w:t>
            </w:r>
          </w:p>
          <w:p>
            <w:pPr>
              <w:jc w:val="left"/>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．维修响应时间：2小时响应，48小时未解决问题提供备用机</w:t>
            </w:r>
            <w:r>
              <w:rPr>
                <w:rFonts w:hint="eastAsia" w:ascii="宋体" w:hAnsi="宋体" w:eastAsia="宋体" w:cs="宋体"/>
                <w:color w:val="auto"/>
                <w:sz w:val="24"/>
                <w:szCs w:val="24"/>
                <w:lang w:val="en-US" w:eastAsia="zh-CN"/>
              </w:rPr>
              <w:t>使用</w:t>
            </w:r>
            <w:r>
              <w:rPr>
                <w:rFonts w:hint="eastAsia" w:ascii="宋体" w:hAnsi="宋体" w:eastAsia="宋体" w:cs="宋体"/>
                <w:color w:val="auto"/>
                <w:sz w:val="24"/>
                <w:szCs w:val="24"/>
              </w:rPr>
              <w:t>。</w:t>
            </w:r>
          </w:p>
          <w:p>
            <w:pPr>
              <w:jc w:val="center"/>
              <w:rPr>
                <w:rFonts w:hint="eastAsia" w:ascii="宋体" w:hAnsi="宋体" w:eastAsia="宋体" w:cs="宋体"/>
                <w:sz w:val="24"/>
                <w:szCs w:val="24"/>
                <w:lang w:val="en-US" w:eastAsia="zh-CN"/>
              </w:rPr>
            </w:pPr>
          </w:p>
        </w:tc>
      </w:tr>
    </w:tbl>
    <w:p/>
    <w:p>
      <w:pPr>
        <w:pStyle w:val="2"/>
        <w:keepNext w:val="0"/>
        <w:keepLines w:val="0"/>
        <w:pageBreakBefore w:val="0"/>
        <w:widowControl w:val="0"/>
        <w:kinsoku/>
        <w:wordWrap/>
        <w:overflowPunct/>
        <w:topLinePunct w:val="0"/>
        <w:autoSpaceDE/>
        <w:autoSpaceDN/>
        <w:bidi w:val="0"/>
        <w:adjustRightInd/>
        <w:ind w:firstLine="560" w:firstLineChars="200"/>
        <w:textAlignment w:val="auto"/>
        <w:rPr>
          <w:rFonts w:hint="eastAsia" w:ascii="Times New Roman" w:hAnsi="Times New Roman" w:eastAsia="宋体" w:cs="Times New Roman"/>
          <w:color w:val="auto"/>
          <w:sz w:val="28"/>
          <w:szCs w:val="28"/>
          <w:lang w:val="en-US" w:eastAsia="zh-CN"/>
        </w:rPr>
      </w:pPr>
      <w:r>
        <w:rPr>
          <w:rFonts w:hint="eastAsia" w:ascii="Times New Roman" w:hAnsi="Times New Roman" w:eastAsia="宋体" w:cs="Times New Roman"/>
          <w:color w:val="auto"/>
          <w:sz w:val="28"/>
          <w:szCs w:val="28"/>
          <w:lang w:val="en-US" w:eastAsia="zh-CN"/>
        </w:rPr>
        <w:t>三、配件</w:t>
      </w:r>
    </w:p>
    <w:p>
      <w:pPr>
        <w:pStyle w:val="2"/>
        <w:keepNext w:val="0"/>
        <w:keepLines w:val="0"/>
        <w:pageBreakBefore w:val="0"/>
        <w:widowControl w:val="0"/>
        <w:kinsoku/>
        <w:wordWrap/>
        <w:overflowPunct/>
        <w:topLinePunct w:val="0"/>
        <w:autoSpaceDE/>
        <w:autoSpaceDN/>
        <w:bidi w:val="0"/>
        <w:adjustRightInd/>
        <w:ind w:firstLine="560" w:firstLineChars="200"/>
        <w:textAlignment w:val="auto"/>
        <w:rPr>
          <w:rFonts w:hint="eastAsia" w:ascii="Times New Roman" w:hAnsi="Times New Roman" w:eastAsia="宋体" w:cs="Times New Roman"/>
          <w:color w:val="auto"/>
          <w:sz w:val="28"/>
          <w:szCs w:val="28"/>
          <w:lang w:val="en-US" w:eastAsia="zh-CN"/>
        </w:rPr>
      </w:pPr>
      <w:r>
        <w:rPr>
          <w:rFonts w:hint="eastAsia" w:ascii="Times New Roman" w:hAnsi="Times New Roman" w:eastAsia="宋体" w:cs="Times New Roman"/>
          <w:color w:val="auto"/>
          <w:sz w:val="28"/>
          <w:szCs w:val="28"/>
          <w:lang w:val="en-US" w:eastAsia="zh-CN"/>
        </w:rPr>
        <w:t>设备出保修期后配件的价格：</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2521"/>
        <w:gridCol w:w="1704"/>
        <w:gridCol w:w="1704"/>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center"/>
          </w:tcPr>
          <w:p>
            <w:pPr>
              <w:pStyle w:val="2"/>
              <w:keepNext w:val="0"/>
              <w:keepLines w:val="0"/>
              <w:pageBreakBefore w:val="0"/>
              <w:widowControl w:val="0"/>
              <w:kinsoku/>
              <w:wordWrap/>
              <w:overflowPunct/>
              <w:topLinePunct w:val="0"/>
              <w:autoSpaceDE/>
              <w:autoSpaceDN/>
              <w:bidi w:val="0"/>
              <w:adjustRightInd/>
              <w:jc w:val="center"/>
              <w:textAlignment w:val="auto"/>
              <w:rPr>
                <w:rFonts w:hint="default" w:ascii="Times New Roman" w:hAnsi="Times New Roman" w:eastAsia="宋体" w:cs="Times New Roman"/>
                <w:color w:val="auto"/>
                <w:sz w:val="28"/>
                <w:szCs w:val="28"/>
                <w:vertAlign w:val="baseline"/>
                <w:lang w:val="en-US" w:eastAsia="zh-CN"/>
              </w:rPr>
            </w:pPr>
            <w:r>
              <w:rPr>
                <w:rFonts w:hint="eastAsia" w:ascii="Times New Roman" w:hAnsi="Times New Roman" w:eastAsia="宋体" w:cs="Times New Roman"/>
                <w:color w:val="auto"/>
                <w:sz w:val="28"/>
                <w:szCs w:val="28"/>
                <w:vertAlign w:val="baseline"/>
                <w:lang w:val="en-US" w:eastAsia="zh-CN"/>
              </w:rPr>
              <w:t>序号</w:t>
            </w:r>
          </w:p>
        </w:tc>
        <w:tc>
          <w:tcPr>
            <w:tcW w:w="2521" w:type="dxa"/>
            <w:vAlign w:val="center"/>
          </w:tcPr>
          <w:p>
            <w:pPr>
              <w:pStyle w:val="2"/>
              <w:keepNext w:val="0"/>
              <w:keepLines w:val="0"/>
              <w:pageBreakBefore w:val="0"/>
              <w:widowControl w:val="0"/>
              <w:kinsoku/>
              <w:wordWrap/>
              <w:overflowPunct/>
              <w:topLinePunct w:val="0"/>
              <w:autoSpaceDE/>
              <w:autoSpaceDN/>
              <w:bidi w:val="0"/>
              <w:adjustRightInd/>
              <w:jc w:val="center"/>
              <w:textAlignment w:val="auto"/>
              <w:rPr>
                <w:rFonts w:hint="default" w:ascii="Times New Roman" w:hAnsi="Times New Roman" w:eastAsia="宋体" w:cs="Times New Roman"/>
                <w:color w:val="auto"/>
                <w:sz w:val="28"/>
                <w:szCs w:val="28"/>
                <w:vertAlign w:val="baseline"/>
                <w:lang w:val="en-US" w:eastAsia="zh-CN"/>
              </w:rPr>
            </w:pPr>
            <w:r>
              <w:rPr>
                <w:rFonts w:hint="eastAsia" w:ascii="Times New Roman" w:hAnsi="Times New Roman" w:eastAsia="宋体" w:cs="Times New Roman"/>
                <w:color w:val="auto"/>
                <w:sz w:val="28"/>
                <w:szCs w:val="28"/>
                <w:vertAlign w:val="baseline"/>
                <w:lang w:val="en-US" w:eastAsia="zh-CN"/>
              </w:rPr>
              <w:t>配件名称</w:t>
            </w:r>
          </w:p>
        </w:tc>
        <w:tc>
          <w:tcPr>
            <w:tcW w:w="1704" w:type="dxa"/>
            <w:vAlign w:val="center"/>
          </w:tcPr>
          <w:p>
            <w:pPr>
              <w:pStyle w:val="2"/>
              <w:keepNext w:val="0"/>
              <w:keepLines w:val="0"/>
              <w:pageBreakBefore w:val="0"/>
              <w:widowControl w:val="0"/>
              <w:kinsoku/>
              <w:wordWrap/>
              <w:overflowPunct/>
              <w:topLinePunct w:val="0"/>
              <w:autoSpaceDE/>
              <w:autoSpaceDN/>
              <w:bidi w:val="0"/>
              <w:adjustRightInd/>
              <w:jc w:val="center"/>
              <w:textAlignment w:val="auto"/>
              <w:rPr>
                <w:rFonts w:hint="default" w:ascii="Times New Roman" w:hAnsi="Times New Roman" w:eastAsia="宋体" w:cs="Times New Roman"/>
                <w:color w:val="auto"/>
                <w:sz w:val="28"/>
                <w:szCs w:val="28"/>
                <w:vertAlign w:val="baseline"/>
                <w:lang w:val="en-US" w:eastAsia="zh-CN"/>
              </w:rPr>
            </w:pPr>
            <w:r>
              <w:rPr>
                <w:rFonts w:hint="eastAsia" w:ascii="Times New Roman" w:hAnsi="Times New Roman" w:eastAsia="宋体" w:cs="Times New Roman"/>
                <w:color w:val="auto"/>
                <w:sz w:val="28"/>
                <w:szCs w:val="28"/>
                <w:vertAlign w:val="baseline"/>
                <w:lang w:val="en-US" w:eastAsia="zh-CN"/>
              </w:rPr>
              <w:t>更换频率（次/年）</w:t>
            </w:r>
          </w:p>
        </w:tc>
        <w:tc>
          <w:tcPr>
            <w:tcW w:w="1704" w:type="dxa"/>
            <w:vAlign w:val="center"/>
          </w:tcPr>
          <w:p>
            <w:pPr>
              <w:pStyle w:val="2"/>
              <w:keepNext w:val="0"/>
              <w:keepLines w:val="0"/>
              <w:pageBreakBefore w:val="0"/>
              <w:widowControl w:val="0"/>
              <w:kinsoku/>
              <w:wordWrap/>
              <w:overflowPunct/>
              <w:topLinePunct w:val="0"/>
              <w:autoSpaceDE/>
              <w:autoSpaceDN/>
              <w:bidi w:val="0"/>
              <w:adjustRightInd/>
              <w:jc w:val="center"/>
              <w:textAlignment w:val="auto"/>
              <w:rPr>
                <w:rFonts w:hint="default" w:ascii="Times New Roman" w:hAnsi="Times New Roman" w:eastAsia="宋体" w:cs="Times New Roman"/>
                <w:color w:val="auto"/>
                <w:sz w:val="28"/>
                <w:szCs w:val="28"/>
                <w:vertAlign w:val="baseline"/>
                <w:lang w:val="en-US" w:eastAsia="zh-CN"/>
              </w:rPr>
            </w:pPr>
            <w:r>
              <w:rPr>
                <w:rFonts w:hint="eastAsia" w:ascii="Times New Roman" w:hAnsi="Times New Roman" w:eastAsia="宋体" w:cs="Times New Roman"/>
                <w:color w:val="auto"/>
                <w:sz w:val="28"/>
                <w:szCs w:val="28"/>
                <w:vertAlign w:val="baseline"/>
                <w:lang w:val="en-US" w:eastAsia="zh-CN"/>
              </w:rPr>
              <w:t>配件价格（元）</w:t>
            </w:r>
          </w:p>
        </w:tc>
        <w:tc>
          <w:tcPr>
            <w:tcW w:w="1704" w:type="dxa"/>
            <w:vAlign w:val="center"/>
          </w:tcPr>
          <w:p>
            <w:pPr>
              <w:pStyle w:val="2"/>
              <w:keepNext w:val="0"/>
              <w:keepLines w:val="0"/>
              <w:pageBreakBefore w:val="0"/>
              <w:widowControl w:val="0"/>
              <w:kinsoku/>
              <w:wordWrap/>
              <w:overflowPunct/>
              <w:topLinePunct w:val="0"/>
              <w:autoSpaceDE/>
              <w:autoSpaceDN/>
              <w:bidi w:val="0"/>
              <w:adjustRightInd/>
              <w:jc w:val="center"/>
              <w:textAlignment w:val="auto"/>
              <w:rPr>
                <w:rFonts w:hint="default" w:ascii="Times New Roman" w:hAnsi="Times New Roman" w:eastAsia="宋体" w:cs="Times New Roman"/>
                <w:color w:val="auto"/>
                <w:sz w:val="28"/>
                <w:szCs w:val="28"/>
                <w:vertAlign w:val="baseline"/>
                <w:lang w:val="en-US" w:eastAsia="zh-CN"/>
              </w:rPr>
            </w:pPr>
            <w:r>
              <w:rPr>
                <w:rFonts w:hint="eastAsia" w:ascii="Times New Roman" w:hAnsi="Times New Roman" w:eastAsia="宋体" w:cs="Times New Roman"/>
                <w:color w:val="auto"/>
                <w:sz w:val="28"/>
                <w:szCs w:val="28"/>
                <w:vertAlign w:val="baseline"/>
                <w:lang w:val="en-US" w:eastAsia="zh-CN"/>
              </w:rPr>
              <w:t>年合计费用（元）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pPr>
              <w:pStyle w:val="2"/>
              <w:keepNext w:val="0"/>
              <w:keepLines w:val="0"/>
              <w:pageBreakBefore w:val="0"/>
              <w:widowControl w:val="0"/>
              <w:kinsoku/>
              <w:wordWrap/>
              <w:overflowPunct/>
              <w:topLinePunct w:val="0"/>
              <w:autoSpaceDE/>
              <w:autoSpaceDN/>
              <w:bidi w:val="0"/>
              <w:adjustRightInd/>
              <w:jc w:val="center"/>
              <w:textAlignment w:val="auto"/>
              <w:rPr>
                <w:rFonts w:hint="default" w:ascii="Times New Roman" w:hAnsi="Times New Roman" w:eastAsia="宋体" w:cs="Times New Roman"/>
                <w:color w:val="auto"/>
                <w:sz w:val="28"/>
                <w:szCs w:val="28"/>
                <w:vertAlign w:val="baseline"/>
                <w:lang w:val="en-US" w:eastAsia="zh-CN"/>
              </w:rPr>
            </w:pPr>
            <w:r>
              <w:rPr>
                <w:rFonts w:hint="eastAsia" w:ascii="Times New Roman" w:hAnsi="Times New Roman" w:eastAsia="宋体" w:cs="Times New Roman"/>
                <w:color w:val="auto"/>
                <w:sz w:val="28"/>
                <w:szCs w:val="28"/>
                <w:vertAlign w:val="baseline"/>
                <w:lang w:val="en-US" w:eastAsia="zh-CN"/>
              </w:rPr>
              <w:t>1</w:t>
            </w:r>
          </w:p>
        </w:tc>
        <w:tc>
          <w:tcPr>
            <w:tcW w:w="2521"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r>
              <w:rPr>
                <w:rFonts w:hint="eastAsia" w:ascii="Times New Roman" w:hAnsi="Times New Roman" w:cs="Times New Roman"/>
                <w:color w:val="auto"/>
                <w:sz w:val="28"/>
                <w:szCs w:val="28"/>
                <w:vertAlign w:val="baseline"/>
                <w:lang w:val="en-US" w:eastAsia="zh-CN"/>
              </w:rPr>
              <w:t>/</w:t>
            </w:r>
          </w:p>
        </w:tc>
        <w:tc>
          <w:tcPr>
            <w:tcW w:w="1704"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r>
              <w:rPr>
                <w:rFonts w:hint="eastAsia" w:ascii="Times New Roman" w:hAnsi="Times New Roman" w:cs="Times New Roman"/>
                <w:color w:val="auto"/>
                <w:sz w:val="28"/>
                <w:szCs w:val="28"/>
                <w:vertAlign w:val="baseline"/>
                <w:lang w:val="en-US" w:eastAsia="zh-CN"/>
              </w:rPr>
              <w:t>/</w:t>
            </w:r>
          </w:p>
        </w:tc>
        <w:tc>
          <w:tcPr>
            <w:tcW w:w="1704"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r>
              <w:rPr>
                <w:rFonts w:hint="eastAsia" w:ascii="Times New Roman" w:hAnsi="Times New Roman" w:cs="Times New Roman"/>
                <w:color w:val="auto"/>
                <w:sz w:val="28"/>
                <w:szCs w:val="28"/>
                <w:vertAlign w:val="baseline"/>
                <w:lang w:val="en-US" w:eastAsia="zh-CN"/>
              </w:rPr>
              <w:t>/</w:t>
            </w:r>
          </w:p>
        </w:tc>
        <w:tc>
          <w:tcPr>
            <w:tcW w:w="1704"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r>
              <w:rPr>
                <w:rFonts w:hint="eastAsia" w:ascii="Times New Roman" w:hAnsi="Times New Roman" w:cs="Times New Roman"/>
                <w:color w:val="auto"/>
                <w:sz w:val="28"/>
                <w:szCs w:val="28"/>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pPr>
              <w:pStyle w:val="2"/>
              <w:keepNext w:val="0"/>
              <w:keepLines w:val="0"/>
              <w:pageBreakBefore w:val="0"/>
              <w:widowControl w:val="0"/>
              <w:kinsoku/>
              <w:wordWrap/>
              <w:overflowPunct/>
              <w:topLinePunct w:val="0"/>
              <w:autoSpaceDE/>
              <w:autoSpaceDN/>
              <w:bidi w:val="0"/>
              <w:adjustRightInd/>
              <w:jc w:val="center"/>
              <w:textAlignment w:val="auto"/>
              <w:rPr>
                <w:rFonts w:hint="default" w:ascii="Times New Roman" w:hAnsi="Times New Roman" w:eastAsia="宋体" w:cs="Times New Roman"/>
                <w:color w:val="auto"/>
                <w:sz w:val="28"/>
                <w:szCs w:val="28"/>
                <w:vertAlign w:val="baseline"/>
                <w:lang w:val="en-US" w:eastAsia="zh-CN"/>
              </w:rPr>
            </w:pPr>
            <w:r>
              <w:rPr>
                <w:rFonts w:hint="eastAsia" w:ascii="Times New Roman" w:hAnsi="Times New Roman" w:eastAsia="宋体" w:cs="Times New Roman"/>
                <w:color w:val="auto"/>
                <w:sz w:val="28"/>
                <w:szCs w:val="28"/>
                <w:vertAlign w:val="baseline"/>
                <w:lang w:val="en-US" w:eastAsia="zh-CN"/>
              </w:rPr>
              <w:t>2</w:t>
            </w:r>
          </w:p>
        </w:tc>
        <w:tc>
          <w:tcPr>
            <w:tcW w:w="2521"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pPr>
              <w:pStyle w:val="2"/>
              <w:keepNext w:val="0"/>
              <w:keepLines w:val="0"/>
              <w:pageBreakBefore w:val="0"/>
              <w:widowControl w:val="0"/>
              <w:kinsoku/>
              <w:wordWrap/>
              <w:overflowPunct/>
              <w:topLinePunct w:val="0"/>
              <w:autoSpaceDE/>
              <w:autoSpaceDN/>
              <w:bidi w:val="0"/>
              <w:adjustRightInd/>
              <w:jc w:val="center"/>
              <w:textAlignment w:val="auto"/>
              <w:rPr>
                <w:rFonts w:hint="default" w:ascii="Times New Roman" w:hAnsi="Times New Roman" w:eastAsia="宋体" w:cs="Times New Roman"/>
                <w:color w:val="auto"/>
                <w:sz w:val="28"/>
                <w:szCs w:val="28"/>
                <w:vertAlign w:val="baseline"/>
                <w:lang w:val="en-US" w:eastAsia="zh-CN"/>
              </w:rPr>
            </w:pPr>
            <w:r>
              <w:rPr>
                <w:rFonts w:hint="eastAsia" w:ascii="Times New Roman" w:hAnsi="Times New Roman" w:eastAsia="宋体" w:cs="Times New Roman"/>
                <w:color w:val="auto"/>
                <w:sz w:val="28"/>
                <w:szCs w:val="28"/>
                <w:vertAlign w:val="baseline"/>
                <w:lang w:val="en-US" w:eastAsia="zh-CN"/>
              </w:rPr>
              <w:t>3</w:t>
            </w:r>
          </w:p>
        </w:tc>
        <w:tc>
          <w:tcPr>
            <w:tcW w:w="2521"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pPr>
              <w:pStyle w:val="2"/>
              <w:keepNext w:val="0"/>
              <w:keepLines w:val="0"/>
              <w:pageBreakBefore w:val="0"/>
              <w:widowControl w:val="0"/>
              <w:kinsoku/>
              <w:wordWrap/>
              <w:overflowPunct/>
              <w:topLinePunct w:val="0"/>
              <w:autoSpaceDE/>
              <w:autoSpaceDN/>
              <w:bidi w:val="0"/>
              <w:adjustRightInd/>
              <w:jc w:val="center"/>
              <w:textAlignment w:val="auto"/>
              <w:rPr>
                <w:rFonts w:hint="default" w:ascii="Times New Roman" w:hAnsi="Times New Roman" w:eastAsia="宋体" w:cs="Times New Roman"/>
                <w:color w:val="auto"/>
                <w:sz w:val="28"/>
                <w:szCs w:val="28"/>
                <w:vertAlign w:val="baseline"/>
                <w:lang w:val="en-US" w:eastAsia="zh-CN"/>
              </w:rPr>
            </w:pPr>
            <w:r>
              <w:rPr>
                <w:rFonts w:hint="eastAsia" w:ascii="Times New Roman" w:hAnsi="Times New Roman" w:eastAsia="宋体" w:cs="Times New Roman"/>
                <w:color w:val="auto"/>
                <w:sz w:val="28"/>
                <w:szCs w:val="28"/>
                <w:vertAlign w:val="baseline"/>
                <w:lang w:val="en-US" w:eastAsia="zh-CN"/>
              </w:rPr>
              <w:t>4</w:t>
            </w:r>
          </w:p>
        </w:tc>
        <w:tc>
          <w:tcPr>
            <w:tcW w:w="2521"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pPr>
              <w:pStyle w:val="2"/>
              <w:keepNext w:val="0"/>
              <w:keepLines w:val="0"/>
              <w:pageBreakBefore w:val="0"/>
              <w:widowControl w:val="0"/>
              <w:kinsoku/>
              <w:wordWrap/>
              <w:overflowPunct/>
              <w:topLinePunct w:val="0"/>
              <w:autoSpaceDE/>
              <w:autoSpaceDN/>
              <w:bidi w:val="0"/>
              <w:adjustRightInd/>
              <w:jc w:val="center"/>
              <w:textAlignment w:val="auto"/>
              <w:rPr>
                <w:rFonts w:hint="default" w:ascii="Times New Roman" w:hAnsi="Times New Roman" w:eastAsia="宋体" w:cs="Times New Roman"/>
                <w:color w:val="auto"/>
                <w:sz w:val="28"/>
                <w:szCs w:val="28"/>
                <w:vertAlign w:val="baseline"/>
                <w:lang w:val="en-US" w:eastAsia="zh-CN"/>
              </w:rPr>
            </w:pPr>
            <w:r>
              <w:rPr>
                <w:rFonts w:hint="eastAsia" w:ascii="微软雅黑" w:hAnsi="微软雅黑" w:eastAsia="微软雅黑" w:cs="微软雅黑"/>
                <w:color w:val="auto"/>
                <w:sz w:val="28"/>
                <w:szCs w:val="28"/>
                <w:vertAlign w:val="baseline"/>
                <w:lang w:val="en-US" w:eastAsia="zh-CN"/>
              </w:rPr>
              <w:t>……</w:t>
            </w:r>
          </w:p>
        </w:tc>
        <w:tc>
          <w:tcPr>
            <w:tcW w:w="2521"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r>
              <w:rPr>
                <w:rFonts w:hint="eastAsia" w:ascii="Times New Roman" w:hAnsi="Times New Roman" w:eastAsia="宋体" w:cs="Times New Roman"/>
                <w:color w:val="auto"/>
                <w:sz w:val="28"/>
                <w:szCs w:val="28"/>
                <w:vertAlign w:val="baseline"/>
                <w:lang w:val="en-US" w:eastAsia="zh-CN"/>
              </w:rPr>
              <w:t>合计</w:t>
            </w:r>
          </w:p>
        </w:tc>
        <w:tc>
          <w:tcPr>
            <w:tcW w:w="2521"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c>
          <w:tcPr>
            <w:tcW w:w="1704" w:type="dxa"/>
          </w:tcPr>
          <w:p>
            <w:pPr>
              <w:pStyle w:val="2"/>
              <w:keepNext w:val="0"/>
              <w:keepLines w:val="0"/>
              <w:pageBreakBefore w:val="0"/>
              <w:widowControl w:val="0"/>
              <w:kinsoku/>
              <w:wordWrap/>
              <w:overflowPunct/>
              <w:topLinePunct w:val="0"/>
              <w:autoSpaceDE/>
              <w:autoSpaceDN/>
              <w:bidi w:val="0"/>
              <w:adjustRightInd/>
              <w:textAlignment w:val="auto"/>
              <w:rPr>
                <w:rFonts w:hint="default" w:ascii="Times New Roman" w:hAnsi="Times New Roman" w:eastAsia="宋体" w:cs="Times New Roman"/>
                <w:color w:val="auto"/>
                <w:sz w:val="28"/>
                <w:szCs w:val="28"/>
                <w:vertAlign w:val="baseline"/>
                <w:lang w:val="en-US" w:eastAsia="zh-CN"/>
              </w:rPr>
            </w:pPr>
          </w:p>
        </w:tc>
      </w:tr>
    </w:tbl>
    <w:p>
      <w:pPr>
        <w:rPr>
          <w:rFonts w:hint="default" w:ascii="Times New Roman" w:hAnsi="Times New Roman" w:eastAsia="宋体" w:cs="Times New Roman"/>
          <w:b/>
          <w:bCs/>
          <w:color w:val="C00000"/>
          <w:sz w:val="28"/>
          <w:szCs w:val="28"/>
          <w:lang w:val="en-US" w:eastAsia="zh-CN"/>
        </w:rPr>
      </w:pPr>
      <w:r>
        <w:rPr>
          <w:rFonts w:hint="eastAsia" w:ascii="宋体" w:hAnsi="宋体" w:cs="宋体"/>
          <w:b/>
          <w:bCs/>
          <w:color w:val="C00000"/>
          <w:sz w:val="28"/>
          <w:szCs w:val="28"/>
          <w:lang w:eastAsia="zh-CN"/>
        </w:rPr>
        <w:t>（</w:t>
      </w:r>
      <w:r>
        <w:rPr>
          <w:rFonts w:hint="eastAsia" w:ascii="宋体" w:hAnsi="宋体" w:cs="宋体"/>
          <w:b/>
          <w:bCs/>
          <w:color w:val="C00000"/>
          <w:sz w:val="28"/>
          <w:szCs w:val="28"/>
          <w:lang w:val="en-US" w:eastAsia="zh-CN"/>
        </w:rPr>
        <w:t>备注：此表由供应商填写，作为评标的重要依据。</w:t>
      </w:r>
      <w:r>
        <w:rPr>
          <w:rFonts w:hint="eastAsia" w:ascii="宋体" w:hAnsi="宋体" w:cs="宋体"/>
          <w:b/>
          <w:bCs/>
          <w:color w:val="C00000"/>
          <w:sz w:val="28"/>
          <w:szCs w:val="28"/>
          <w:lang w:eastAsia="zh-CN"/>
        </w:rPr>
        <w:t>）</w:t>
      </w:r>
    </w:p>
    <w:p>
      <w:pPr>
        <w:pStyle w:val="2"/>
        <w:keepNext w:val="0"/>
        <w:keepLines w:val="0"/>
        <w:pageBreakBefore w:val="0"/>
        <w:widowControl w:val="0"/>
        <w:kinsoku/>
        <w:wordWrap/>
        <w:overflowPunct/>
        <w:topLinePunct w:val="0"/>
        <w:autoSpaceDE/>
        <w:autoSpaceDN/>
        <w:bidi w:val="0"/>
        <w:adjustRightInd/>
        <w:ind w:firstLine="560" w:firstLineChars="200"/>
        <w:textAlignment w:val="auto"/>
        <w:rPr>
          <w:rFonts w:hint="default" w:ascii="Times New Roman" w:hAnsi="Times New Roman" w:eastAsia="宋体" w:cs="Times New Roman"/>
          <w:color w:val="auto"/>
          <w:sz w:val="28"/>
          <w:szCs w:val="28"/>
          <w:lang w:val="en-US" w:eastAsia="zh-CN"/>
        </w:rPr>
      </w:pPr>
      <w:r>
        <w:rPr>
          <w:rFonts w:hint="eastAsia" w:ascii="Times New Roman" w:hAnsi="Times New Roman" w:eastAsia="宋体" w:cs="Times New Roman"/>
          <w:color w:val="auto"/>
          <w:sz w:val="28"/>
          <w:szCs w:val="28"/>
          <w:lang w:val="en-US" w:eastAsia="zh-CN"/>
        </w:rPr>
        <w:t>四、设备和耗材、检验试剂的关系</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7"/>
        <w:gridCol w:w="996"/>
        <w:gridCol w:w="683"/>
        <w:gridCol w:w="839"/>
        <w:gridCol w:w="840"/>
        <w:gridCol w:w="840"/>
        <w:gridCol w:w="849"/>
        <w:gridCol w:w="836"/>
        <w:gridCol w:w="836"/>
        <w:gridCol w:w="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967" w:type="dxa"/>
            <w:vAlign w:val="center"/>
          </w:tcPr>
          <w:p>
            <w:pPr>
              <w:jc w:val="center"/>
              <w:rPr>
                <w:rFonts w:hint="default" w:ascii="宋体" w:hAnsi="宋体" w:eastAsia="宋体" w:cs="宋体"/>
                <w:color w:val="auto"/>
                <w:vertAlign w:val="baseline"/>
                <w:lang w:val="en-US" w:eastAsia="zh-CN"/>
              </w:rPr>
            </w:pPr>
            <w:r>
              <w:rPr>
                <w:rFonts w:hint="eastAsia" w:ascii="宋体" w:hAnsi="宋体" w:cs="宋体"/>
                <w:color w:val="auto"/>
                <w:vertAlign w:val="baseline"/>
                <w:lang w:val="en-US" w:eastAsia="zh-CN"/>
              </w:rPr>
              <w:t>设备名称</w:t>
            </w:r>
          </w:p>
        </w:tc>
        <w:tc>
          <w:tcPr>
            <w:tcW w:w="996" w:type="dxa"/>
            <w:vAlign w:val="center"/>
          </w:tcPr>
          <w:p>
            <w:pPr>
              <w:jc w:val="center"/>
              <w:rPr>
                <w:rFonts w:hint="default" w:ascii="宋体" w:hAnsi="宋体" w:eastAsia="宋体" w:cs="宋体"/>
                <w:color w:val="auto"/>
                <w:vertAlign w:val="baseline"/>
                <w:lang w:val="en-US" w:eastAsia="zh-CN"/>
              </w:rPr>
            </w:pPr>
            <w:r>
              <w:rPr>
                <w:rFonts w:hint="eastAsia" w:ascii="宋体" w:hAnsi="宋体" w:cs="宋体"/>
                <w:color w:val="auto"/>
                <w:vertAlign w:val="baseline"/>
                <w:lang w:val="en-US" w:eastAsia="zh-CN"/>
              </w:rPr>
              <w:t>设备单价（元）</w:t>
            </w:r>
          </w:p>
        </w:tc>
        <w:tc>
          <w:tcPr>
            <w:tcW w:w="683" w:type="dxa"/>
            <w:vAlign w:val="center"/>
          </w:tcPr>
          <w:p>
            <w:pPr>
              <w:jc w:val="center"/>
              <w:rPr>
                <w:rFonts w:hint="default" w:ascii="宋体" w:hAnsi="宋体" w:eastAsia="宋体" w:cs="宋体"/>
                <w:color w:val="auto"/>
                <w:vertAlign w:val="baseline"/>
                <w:lang w:val="en-US" w:eastAsia="zh-CN"/>
              </w:rPr>
            </w:pPr>
            <w:r>
              <w:rPr>
                <w:rFonts w:hint="eastAsia" w:ascii="宋体" w:hAnsi="宋体" w:cs="宋体"/>
                <w:color w:val="auto"/>
                <w:vertAlign w:val="baseline"/>
                <w:lang w:val="en-US" w:eastAsia="zh-CN"/>
              </w:rPr>
              <w:t>国产/进口</w:t>
            </w:r>
          </w:p>
        </w:tc>
        <w:tc>
          <w:tcPr>
            <w:tcW w:w="839" w:type="dxa"/>
            <w:vAlign w:val="center"/>
          </w:tcPr>
          <w:p>
            <w:pPr>
              <w:jc w:val="center"/>
              <w:rPr>
                <w:rFonts w:hint="default" w:ascii="宋体" w:hAnsi="宋体" w:eastAsia="宋体" w:cs="宋体"/>
                <w:color w:val="auto"/>
                <w:vertAlign w:val="baseline"/>
                <w:lang w:val="en-US" w:eastAsia="zh-CN"/>
              </w:rPr>
            </w:pPr>
            <w:r>
              <w:rPr>
                <w:rFonts w:hint="eastAsia" w:ascii="宋体" w:hAnsi="宋体" w:cs="宋体"/>
                <w:color w:val="auto"/>
                <w:vertAlign w:val="baseline"/>
                <w:lang w:val="en-US" w:eastAsia="zh-CN"/>
              </w:rPr>
              <w:t>是否专机专用耗材</w:t>
            </w:r>
          </w:p>
        </w:tc>
        <w:tc>
          <w:tcPr>
            <w:tcW w:w="840" w:type="dxa"/>
            <w:vAlign w:val="center"/>
          </w:tcPr>
          <w:p>
            <w:pPr>
              <w:jc w:val="center"/>
              <w:rPr>
                <w:rFonts w:hint="default" w:ascii="宋体" w:hAnsi="宋体" w:eastAsia="宋体" w:cs="宋体"/>
                <w:color w:val="auto"/>
                <w:vertAlign w:val="baseline"/>
                <w:lang w:val="en-US" w:eastAsia="zh-CN"/>
              </w:rPr>
            </w:pPr>
            <w:r>
              <w:rPr>
                <w:rFonts w:hint="eastAsia" w:ascii="宋体" w:hAnsi="宋体" w:cs="宋体"/>
                <w:color w:val="auto"/>
                <w:vertAlign w:val="baseline"/>
                <w:lang w:val="en-US" w:eastAsia="zh-CN"/>
              </w:rPr>
              <w:t>耗材品牌</w:t>
            </w:r>
          </w:p>
        </w:tc>
        <w:tc>
          <w:tcPr>
            <w:tcW w:w="840" w:type="dxa"/>
            <w:vAlign w:val="center"/>
          </w:tcPr>
          <w:p>
            <w:pPr>
              <w:jc w:val="center"/>
              <w:rPr>
                <w:rFonts w:hint="eastAsia" w:ascii="宋体" w:hAnsi="宋体" w:eastAsia="宋体" w:cs="宋体"/>
                <w:color w:val="auto"/>
                <w:vertAlign w:val="baseline"/>
              </w:rPr>
            </w:pPr>
            <w:r>
              <w:rPr>
                <w:rFonts w:hint="eastAsia" w:ascii="宋体" w:hAnsi="宋体" w:cs="宋体"/>
                <w:color w:val="auto"/>
                <w:vertAlign w:val="baseline"/>
                <w:lang w:val="en-US" w:eastAsia="zh-CN"/>
              </w:rPr>
              <w:t>耗材名称</w:t>
            </w:r>
          </w:p>
        </w:tc>
        <w:tc>
          <w:tcPr>
            <w:tcW w:w="849" w:type="dxa"/>
            <w:vAlign w:val="center"/>
          </w:tcPr>
          <w:p>
            <w:pPr>
              <w:jc w:val="both"/>
              <w:rPr>
                <w:rFonts w:hint="default" w:ascii="宋体" w:hAnsi="宋体" w:eastAsia="宋体" w:cs="宋体"/>
                <w:color w:val="auto"/>
                <w:vertAlign w:val="baseline"/>
                <w:lang w:val="en-US" w:eastAsia="zh-CN"/>
              </w:rPr>
            </w:pPr>
            <w:r>
              <w:rPr>
                <w:rFonts w:hint="eastAsia" w:ascii="宋体" w:hAnsi="宋体" w:cs="宋体"/>
                <w:color w:val="auto"/>
                <w:vertAlign w:val="baseline"/>
                <w:lang w:val="en-US" w:eastAsia="zh-CN"/>
              </w:rPr>
              <w:t>集采/阳光网</w:t>
            </w:r>
          </w:p>
        </w:tc>
        <w:tc>
          <w:tcPr>
            <w:tcW w:w="836" w:type="dxa"/>
            <w:vAlign w:val="center"/>
          </w:tcPr>
          <w:p>
            <w:pPr>
              <w:jc w:val="center"/>
              <w:rPr>
                <w:rFonts w:hint="eastAsia" w:ascii="宋体" w:hAnsi="宋体" w:cs="宋体"/>
                <w:color w:val="auto"/>
                <w:vertAlign w:val="baseline"/>
                <w:lang w:val="en-US" w:eastAsia="zh-CN"/>
              </w:rPr>
            </w:pPr>
            <w:r>
              <w:rPr>
                <w:rFonts w:hint="eastAsia" w:ascii="宋体" w:hAnsi="宋体" w:cs="宋体"/>
                <w:color w:val="auto"/>
                <w:vertAlign w:val="baseline"/>
                <w:lang w:val="en-US" w:eastAsia="zh-CN"/>
              </w:rPr>
              <w:t>集采价格</w:t>
            </w:r>
          </w:p>
        </w:tc>
        <w:tc>
          <w:tcPr>
            <w:tcW w:w="836" w:type="dxa"/>
            <w:vAlign w:val="center"/>
          </w:tcPr>
          <w:p>
            <w:pPr>
              <w:jc w:val="center"/>
              <w:rPr>
                <w:rFonts w:hint="default" w:ascii="宋体" w:hAnsi="宋体" w:cs="宋体"/>
                <w:color w:val="auto"/>
                <w:vertAlign w:val="baseline"/>
                <w:lang w:val="en-US" w:eastAsia="zh-CN"/>
              </w:rPr>
            </w:pPr>
            <w:r>
              <w:rPr>
                <w:rFonts w:hint="eastAsia" w:ascii="宋体" w:hAnsi="宋体" w:cs="宋体"/>
                <w:color w:val="auto"/>
                <w:vertAlign w:val="baseline"/>
                <w:lang w:val="en-US" w:eastAsia="zh-CN"/>
              </w:rPr>
              <w:t>阳光网价格</w:t>
            </w:r>
          </w:p>
        </w:tc>
        <w:tc>
          <w:tcPr>
            <w:tcW w:w="836" w:type="dxa"/>
            <w:vAlign w:val="center"/>
          </w:tcPr>
          <w:p>
            <w:pPr>
              <w:jc w:val="center"/>
              <w:rPr>
                <w:rFonts w:hint="eastAsia" w:ascii="宋体" w:hAnsi="宋体" w:cs="宋体"/>
                <w:color w:val="auto"/>
                <w:vertAlign w:val="baseline"/>
                <w:lang w:val="en-US" w:eastAsia="zh-CN"/>
              </w:rPr>
            </w:pPr>
            <w:r>
              <w:rPr>
                <w:rFonts w:hint="eastAsia" w:ascii="宋体" w:hAnsi="宋体" w:cs="宋体"/>
                <w:color w:val="auto"/>
                <w:vertAlign w:val="baseline"/>
                <w:lang w:val="en-US" w:eastAsia="zh-CN"/>
              </w:rPr>
              <w:t>阳光网成交价格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967" w:type="dxa"/>
            <w:vAlign w:val="center"/>
          </w:tcPr>
          <w:p>
            <w:pPr>
              <w:rPr>
                <w:rFonts w:hint="eastAsia" w:ascii="宋体" w:hAnsi="宋体" w:eastAsia="宋体" w:cs="宋体"/>
                <w:color w:val="auto"/>
                <w:vertAlign w:val="baseline"/>
                <w:lang w:val="en-US" w:eastAsia="zh-CN"/>
              </w:rPr>
            </w:pPr>
            <w:r>
              <w:rPr>
                <w:rFonts w:hint="eastAsia" w:ascii="宋体" w:hAnsi="宋体" w:cs="宋体"/>
                <w:color w:val="auto"/>
                <w:vertAlign w:val="baseline"/>
                <w:lang w:val="en-US" w:eastAsia="zh-CN"/>
              </w:rPr>
              <w:t>/</w:t>
            </w:r>
          </w:p>
        </w:tc>
        <w:tc>
          <w:tcPr>
            <w:tcW w:w="996" w:type="dxa"/>
            <w:vAlign w:val="center"/>
          </w:tcPr>
          <w:p>
            <w:pPr>
              <w:rPr>
                <w:rFonts w:hint="eastAsia" w:ascii="宋体" w:hAnsi="宋体" w:eastAsia="宋体" w:cs="宋体"/>
                <w:color w:val="auto"/>
                <w:vertAlign w:val="baseline"/>
                <w:lang w:val="en-US" w:eastAsia="zh-CN"/>
              </w:rPr>
            </w:pPr>
            <w:r>
              <w:rPr>
                <w:rFonts w:hint="eastAsia" w:ascii="宋体" w:hAnsi="宋体" w:cs="宋体"/>
                <w:color w:val="auto"/>
                <w:vertAlign w:val="baseline"/>
                <w:lang w:val="en-US" w:eastAsia="zh-CN"/>
              </w:rPr>
              <w:t>/</w:t>
            </w:r>
          </w:p>
        </w:tc>
        <w:tc>
          <w:tcPr>
            <w:tcW w:w="683" w:type="dxa"/>
            <w:vAlign w:val="center"/>
          </w:tcPr>
          <w:p>
            <w:pPr>
              <w:rPr>
                <w:rFonts w:hint="eastAsia" w:ascii="宋体" w:hAnsi="宋体" w:eastAsia="宋体" w:cs="宋体"/>
                <w:color w:val="auto"/>
                <w:vertAlign w:val="baseline"/>
                <w:lang w:val="en-US" w:eastAsia="zh-CN"/>
              </w:rPr>
            </w:pPr>
            <w:r>
              <w:rPr>
                <w:rFonts w:hint="eastAsia" w:ascii="宋体" w:hAnsi="宋体" w:cs="宋体"/>
                <w:color w:val="auto"/>
                <w:vertAlign w:val="baseline"/>
                <w:lang w:val="en-US" w:eastAsia="zh-CN"/>
              </w:rPr>
              <w:t>/</w:t>
            </w:r>
          </w:p>
        </w:tc>
        <w:tc>
          <w:tcPr>
            <w:tcW w:w="839" w:type="dxa"/>
            <w:vAlign w:val="center"/>
          </w:tcPr>
          <w:p>
            <w:pPr>
              <w:rPr>
                <w:rFonts w:hint="eastAsia" w:ascii="宋体" w:hAnsi="宋体" w:eastAsia="宋体" w:cs="宋体"/>
                <w:color w:val="auto"/>
                <w:vertAlign w:val="baseline"/>
                <w:lang w:val="en-US" w:eastAsia="zh-CN"/>
              </w:rPr>
            </w:pPr>
            <w:r>
              <w:rPr>
                <w:rFonts w:hint="eastAsia" w:ascii="宋体" w:hAnsi="宋体" w:cs="宋体"/>
                <w:color w:val="auto"/>
                <w:vertAlign w:val="baseline"/>
                <w:lang w:val="en-US" w:eastAsia="zh-CN"/>
              </w:rPr>
              <w:t>/</w:t>
            </w:r>
          </w:p>
        </w:tc>
        <w:tc>
          <w:tcPr>
            <w:tcW w:w="840" w:type="dxa"/>
            <w:vAlign w:val="center"/>
          </w:tcPr>
          <w:p>
            <w:pPr>
              <w:rPr>
                <w:rFonts w:hint="eastAsia" w:ascii="宋体" w:hAnsi="宋体" w:eastAsia="宋体" w:cs="宋体"/>
                <w:color w:val="auto"/>
                <w:vertAlign w:val="baseline"/>
                <w:lang w:val="en-US" w:eastAsia="zh-CN"/>
              </w:rPr>
            </w:pPr>
            <w:r>
              <w:rPr>
                <w:rFonts w:hint="eastAsia" w:ascii="宋体" w:hAnsi="宋体" w:cs="宋体"/>
                <w:color w:val="auto"/>
                <w:vertAlign w:val="baseline"/>
                <w:lang w:val="en-US" w:eastAsia="zh-CN"/>
              </w:rPr>
              <w:t>/</w:t>
            </w:r>
          </w:p>
        </w:tc>
        <w:tc>
          <w:tcPr>
            <w:tcW w:w="840" w:type="dxa"/>
            <w:vAlign w:val="center"/>
          </w:tcPr>
          <w:p>
            <w:pPr>
              <w:rPr>
                <w:rFonts w:hint="eastAsia" w:ascii="宋体" w:hAnsi="宋体" w:eastAsia="宋体" w:cs="宋体"/>
                <w:color w:val="auto"/>
                <w:vertAlign w:val="baseline"/>
                <w:lang w:val="en-US" w:eastAsia="zh-CN"/>
              </w:rPr>
            </w:pPr>
            <w:r>
              <w:rPr>
                <w:rFonts w:hint="eastAsia" w:ascii="宋体" w:hAnsi="宋体" w:cs="宋体"/>
                <w:color w:val="auto"/>
                <w:vertAlign w:val="baseline"/>
                <w:lang w:val="en-US" w:eastAsia="zh-CN"/>
              </w:rPr>
              <w:t>/</w:t>
            </w:r>
          </w:p>
        </w:tc>
        <w:tc>
          <w:tcPr>
            <w:tcW w:w="849" w:type="dxa"/>
            <w:vAlign w:val="center"/>
          </w:tcPr>
          <w:p>
            <w:pPr>
              <w:rPr>
                <w:rFonts w:hint="eastAsia" w:ascii="宋体" w:hAnsi="宋体" w:eastAsia="宋体" w:cs="宋体"/>
                <w:color w:val="auto"/>
                <w:vertAlign w:val="baseline"/>
                <w:lang w:val="en-US" w:eastAsia="zh-CN"/>
              </w:rPr>
            </w:pPr>
            <w:r>
              <w:rPr>
                <w:rFonts w:hint="eastAsia" w:ascii="宋体" w:hAnsi="宋体" w:cs="宋体"/>
                <w:color w:val="auto"/>
                <w:vertAlign w:val="baseline"/>
                <w:lang w:val="en-US" w:eastAsia="zh-CN"/>
              </w:rPr>
              <w:t>/</w:t>
            </w:r>
          </w:p>
        </w:tc>
        <w:tc>
          <w:tcPr>
            <w:tcW w:w="836" w:type="dxa"/>
            <w:vAlign w:val="center"/>
          </w:tcPr>
          <w:p>
            <w:pPr>
              <w:rPr>
                <w:rFonts w:hint="eastAsia" w:ascii="宋体" w:hAnsi="宋体" w:eastAsia="宋体" w:cs="宋体"/>
                <w:color w:val="auto"/>
                <w:vertAlign w:val="baseline"/>
                <w:lang w:val="en-US" w:eastAsia="zh-CN"/>
              </w:rPr>
            </w:pPr>
            <w:r>
              <w:rPr>
                <w:rFonts w:hint="eastAsia" w:ascii="宋体" w:hAnsi="宋体" w:cs="宋体"/>
                <w:color w:val="auto"/>
                <w:vertAlign w:val="baseline"/>
                <w:lang w:val="en-US" w:eastAsia="zh-CN"/>
              </w:rPr>
              <w:t>/</w:t>
            </w:r>
          </w:p>
        </w:tc>
        <w:tc>
          <w:tcPr>
            <w:tcW w:w="836" w:type="dxa"/>
            <w:vAlign w:val="center"/>
          </w:tcPr>
          <w:p>
            <w:pPr>
              <w:rPr>
                <w:rFonts w:hint="eastAsia" w:ascii="宋体" w:hAnsi="宋体" w:eastAsia="宋体" w:cs="宋体"/>
                <w:color w:val="auto"/>
                <w:vertAlign w:val="baseline"/>
                <w:lang w:val="en-US" w:eastAsia="zh-CN"/>
              </w:rPr>
            </w:pPr>
            <w:r>
              <w:rPr>
                <w:rFonts w:hint="eastAsia" w:ascii="宋体" w:hAnsi="宋体" w:cs="宋体"/>
                <w:color w:val="auto"/>
                <w:vertAlign w:val="baseline"/>
                <w:lang w:val="en-US" w:eastAsia="zh-CN"/>
              </w:rPr>
              <w:t>/</w:t>
            </w:r>
          </w:p>
        </w:tc>
        <w:tc>
          <w:tcPr>
            <w:tcW w:w="836" w:type="dxa"/>
            <w:vAlign w:val="center"/>
          </w:tcPr>
          <w:p>
            <w:pPr>
              <w:rPr>
                <w:rFonts w:hint="eastAsia" w:ascii="宋体" w:hAnsi="宋体" w:eastAsia="宋体" w:cs="宋体"/>
                <w:color w:val="auto"/>
                <w:vertAlign w:val="baseline"/>
                <w:lang w:val="en-US" w:eastAsia="zh-CN"/>
              </w:rPr>
            </w:pPr>
            <w:r>
              <w:rPr>
                <w:rFonts w:hint="eastAsia" w:ascii="宋体" w:hAnsi="宋体" w:cs="宋体"/>
                <w:color w:val="auto"/>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967" w:type="dxa"/>
            <w:vAlign w:val="center"/>
          </w:tcPr>
          <w:p>
            <w:pPr>
              <w:rPr>
                <w:rFonts w:hint="eastAsia" w:ascii="宋体" w:hAnsi="宋体" w:eastAsia="宋体" w:cs="宋体"/>
                <w:color w:val="auto"/>
                <w:vertAlign w:val="baseline"/>
              </w:rPr>
            </w:pPr>
          </w:p>
        </w:tc>
        <w:tc>
          <w:tcPr>
            <w:tcW w:w="996" w:type="dxa"/>
            <w:vAlign w:val="center"/>
          </w:tcPr>
          <w:p>
            <w:pPr>
              <w:rPr>
                <w:rFonts w:hint="eastAsia" w:ascii="宋体" w:hAnsi="宋体" w:eastAsia="宋体" w:cs="宋体"/>
                <w:color w:val="auto"/>
                <w:vertAlign w:val="baseline"/>
              </w:rPr>
            </w:pPr>
          </w:p>
        </w:tc>
        <w:tc>
          <w:tcPr>
            <w:tcW w:w="683" w:type="dxa"/>
            <w:vAlign w:val="center"/>
          </w:tcPr>
          <w:p>
            <w:pPr>
              <w:rPr>
                <w:rFonts w:hint="eastAsia" w:ascii="宋体" w:hAnsi="宋体" w:eastAsia="宋体" w:cs="宋体"/>
                <w:color w:val="auto"/>
                <w:vertAlign w:val="baseline"/>
              </w:rPr>
            </w:pPr>
          </w:p>
        </w:tc>
        <w:tc>
          <w:tcPr>
            <w:tcW w:w="839" w:type="dxa"/>
            <w:vAlign w:val="center"/>
          </w:tcPr>
          <w:p>
            <w:pPr>
              <w:rPr>
                <w:rFonts w:hint="eastAsia" w:ascii="宋体" w:hAnsi="宋体" w:eastAsia="宋体" w:cs="宋体"/>
                <w:color w:val="auto"/>
                <w:vertAlign w:val="baseline"/>
              </w:rPr>
            </w:pPr>
          </w:p>
        </w:tc>
        <w:tc>
          <w:tcPr>
            <w:tcW w:w="840" w:type="dxa"/>
            <w:vAlign w:val="center"/>
          </w:tcPr>
          <w:p>
            <w:pPr>
              <w:rPr>
                <w:rFonts w:hint="eastAsia" w:ascii="宋体" w:hAnsi="宋体" w:eastAsia="宋体" w:cs="宋体"/>
                <w:color w:val="auto"/>
                <w:vertAlign w:val="baseline"/>
              </w:rPr>
            </w:pPr>
          </w:p>
        </w:tc>
        <w:tc>
          <w:tcPr>
            <w:tcW w:w="840" w:type="dxa"/>
            <w:vAlign w:val="center"/>
          </w:tcPr>
          <w:p>
            <w:pPr>
              <w:rPr>
                <w:rFonts w:hint="eastAsia" w:ascii="宋体" w:hAnsi="宋体" w:eastAsia="宋体" w:cs="宋体"/>
                <w:color w:val="auto"/>
                <w:vertAlign w:val="baseline"/>
              </w:rPr>
            </w:pPr>
          </w:p>
        </w:tc>
        <w:tc>
          <w:tcPr>
            <w:tcW w:w="849" w:type="dxa"/>
            <w:vAlign w:val="center"/>
          </w:tcPr>
          <w:p>
            <w:pPr>
              <w:rPr>
                <w:rFonts w:hint="eastAsia" w:ascii="宋体" w:hAnsi="宋体" w:eastAsia="宋体" w:cs="宋体"/>
                <w:color w:val="auto"/>
                <w:vertAlign w:val="baseline"/>
              </w:rPr>
            </w:pPr>
          </w:p>
        </w:tc>
        <w:tc>
          <w:tcPr>
            <w:tcW w:w="836" w:type="dxa"/>
            <w:vAlign w:val="center"/>
          </w:tcPr>
          <w:p>
            <w:pPr>
              <w:rPr>
                <w:rFonts w:hint="eastAsia" w:ascii="宋体" w:hAnsi="宋体" w:eastAsia="宋体" w:cs="宋体"/>
                <w:color w:val="auto"/>
                <w:vertAlign w:val="baseline"/>
              </w:rPr>
            </w:pPr>
          </w:p>
        </w:tc>
        <w:tc>
          <w:tcPr>
            <w:tcW w:w="836" w:type="dxa"/>
            <w:vAlign w:val="center"/>
          </w:tcPr>
          <w:p>
            <w:pPr>
              <w:rPr>
                <w:rFonts w:hint="eastAsia" w:ascii="宋体" w:hAnsi="宋体" w:eastAsia="宋体" w:cs="宋体"/>
                <w:color w:val="auto"/>
                <w:vertAlign w:val="baseline"/>
              </w:rPr>
            </w:pPr>
          </w:p>
        </w:tc>
        <w:tc>
          <w:tcPr>
            <w:tcW w:w="836" w:type="dxa"/>
            <w:vAlign w:val="center"/>
          </w:tcPr>
          <w:p>
            <w:pPr>
              <w:rPr>
                <w:rFonts w:hint="eastAsia" w:ascii="宋体" w:hAnsi="宋体" w:eastAsia="宋体" w:cs="宋体"/>
                <w:color w:val="auto"/>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967" w:type="dxa"/>
            <w:vAlign w:val="center"/>
          </w:tcPr>
          <w:p>
            <w:pPr>
              <w:rPr>
                <w:rFonts w:hint="eastAsia" w:ascii="宋体" w:hAnsi="宋体" w:eastAsia="宋体" w:cs="宋体"/>
                <w:color w:val="auto"/>
                <w:vertAlign w:val="baseline"/>
              </w:rPr>
            </w:pPr>
          </w:p>
        </w:tc>
        <w:tc>
          <w:tcPr>
            <w:tcW w:w="996" w:type="dxa"/>
            <w:vAlign w:val="center"/>
          </w:tcPr>
          <w:p>
            <w:pPr>
              <w:rPr>
                <w:rFonts w:hint="eastAsia" w:ascii="宋体" w:hAnsi="宋体" w:eastAsia="宋体" w:cs="宋体"/>
                <w:color w:val="auto"/>
                <w:vertAlign w:val="baseline"/>
              </w:rPr>
            </w:pPr>
          </w:p>
        </w:tc>
        <w:tc>
          <w:tcPr>
            <w:tcW w:w="683" w:type="dxa"/>
            <w:vAlign w:val="center"/>
          </w:tcPr>
          <w:p>
            <w:pPr>
              <w:rPr>
                <w:rFonts w:hint="eastAsia" w:ascii="宋体" w:hAnsi="宋体" w:eastAsia="宋体" w:cs="宋体"/>
                <w:color w:val="auto"/>
                <w:vertAlign w:val="baseline"/>
              </w:rPr>
            </w:pPr>
          </w:p>
        </w:tc>
        <w:tc>
          <w:tcPr>
            <w:tcW w:w="839" w:type="dxa"/>
            <w:vAlign w:val="center"/>
          </w:tcPr>
          <w:p>
            <w:pPr>
              <w:rPr>
                <w:rFonts w:hint="eastAsia" w:ascii="宋体" w:hAnsi="宋体" w:eastAsia="宋体" w:cs="宋体"/>
                <w:color w:val="auto"/>
                <w:vertAlign w:val="baseline"/>
              </w:rPr>
            </w:pPr>
          </w:p>
        </w:tc>
        <w:tc>
          <w:tcPr>
            <w:tcW w:w="840" w:type="dxa"/>
            <w:vAlign w:val="center"/>
          </w:tcPr>
          <w:p>
            <w:pPr>
              <w:rPr>
                <w:rFonts w:hint="eastAsia" w:ascii="宋体" w:hAnsi="宋体" w:eastAsia="宋体" w:cs="宋体"/>
                <w:color w:val="auto"/>
                <w:vertAlign w:val="baseline"/>
              </w:rPr>
            </w:pPr>
          </w:p>
        </w:tc>
        <w:tc>
          <w:tcPr>
            <w:tcW w:w="840" w:type="dxa"/>
            <w:vAlign w:val="center"/>
          </w:tcPr>
          <w:p>
            <w:pPr>
              <w:rPr>
                <w:rFonts w:hint="eastAsia" w:ascii="宋体" w:hAnsi="宋体" w:eastAsia="宋体" w:cs="宋体"/>
                <w:color w:val="auto"/>
                <w:vertAlign w:val="baseline"/>
              </w:rPr>
            </w:pPr>
          </w:p>
        </w:tc>
        <w:tc>
          <w:tcPr>
            <w:tcW w:w="849" w:type="dxa"/>
            <w:vAlign w:val="center"/>
          </w:tcPr>
          <w:p>
            <w:pPr>
              <w:rPr>
                <w:rFonts w:hint="eastAsia" w:ascii="宋体" w:hAnsi="宋体" w:eastAsia="宋体" w:cs="宋体"/>
                <w:color w:val="auto"/>
                <w:vertAlign w:val="baseline"/>
              </w:rPr>
            </w:pPr>
          </w:p>
        </w:tc>
        <w:tc>
          <w:tcPr>
            <w:tcW w:w="836" w:type="dxa"/>
            <w:vAlign w:val="center"/>
          </w:tcPr>
          <w:p>
            <w:pPr>
              <w:rPr>
                <w:rFonts w:hint="eastAsia" w:ascii="宋体" w:hAnsi="宋体" w:eastAsia="宋体" w:cs="宋体"/>
                <w:color w:val="auto"/>
                <w:vertAlign w:val="baseline"/>
              </w:rPr>
            </w:pPr>
          </w:p>
        </w:tc>
        <w:tc>
          <w:tcPr>
            <w:tcW w:w="836" w:type="dxa"/>
            <w:vAlign w:val="center"/>
          </w:tcPr>
          <w:p>
            <w:pPr>
              <w:rPr>
                <w:rFonts w:hint="eastAsia" w:ascii="宋体" w:hAnsi="宋体" w:eastAsia="宋体" w:cs="宋体"/>
                <w:color w:val="auto"/>
                <w:vertAlign w:val="baseline"/>
              </w:rPr>
            </w:pPr>
          </w:p>
        </w:tc>
        <w:tc>
          <w:tcPr>
            <w:tcW w:w="836" w:type="dxa"/>
            <w:vAlign w:val="center"/>
          </w:tcPr>
          <w:p>
            <w:pPr>
              <w:rPr>
                <w:rFonts w:hint="eastAsia" w:ascii="宋体" w:hAnsi="宋体" w:eastAsia="宋体" w:cs="宋体"/>
                <w:color w:val="auto"/>
                <w:vertAlign w:val="baseline"/>
              </w:rPr>
            </w:pPr>
          </w:p>
        </w:tc>
      </w:tr>
    </w:tbl>
    <w:p>
      <w:pPr>
        <w:rPr>
          <w:rFonts w:hint="eastAsia" w:ascii="宋体" w:hAnsi="宋体" w:eastAsia="宋体" w:cs="宋体"/>
          <w:color w:val="auto"/>
          <w:lang w:eastAsia="zh-CN"/>
        </w:rPr>
      </w:pPr>
      <w:r>
        <w:rPr>
          <w:rFonts w:hint="eastAsia" w:ascii="宋体" w:hAnsi="宋体" w:eastAsia="宋体" w:cs="宋体"/>
          <w:b/>
          <w:bCs/>
          <w:color w:val="C00000"/>
          <w:sz w:val="28"/>
          <w:szCs w:val="28"/>
          <w:lang w:val="en-US" w:eastAsia="zh-CN"/>
        </w:rPr>
        <w:t>（备注：此表由供应商填写，作为评标的重要依据。</w:t>
      </w:r>
      <w:r>
        <w:rPr>
          <w:rFonts w:hint="eastAsia" w:ascii="宋体" w:hAnsi="宋体" w:eastAsia="宋体" w:cs="宋体"/>
          <w:b/>
          <w:bCs/>
          <w:color w:val="C00000"/>
          <w:sz w:val="28"/>
          <w:szCs w:val="28"/>
          <w:lang w:eastAsia="zh-CN"/>
        </w:rPr>
        <w:t>）</w:t>
      </w:r>
    </w:p>
    <w:p>
      <w:pPr>
        <w:spacing w:line="480" w:lineRule="auto"/>
        <w:ind w:firstLine="5783" w:firstLineChars="2400"/>
        <w:rPr>
          <w:rFonts w:hint="eastAsia"/>
          <w:b/>
          <w:bCs/>
          <w:sz w:val="24"/>
          <w:szCs w:val="24"/>
          <w:lang w:val="en-US" w:eastAsia="zh-CN"/>
        </w:rPr>
      </w:pPr>
    </w:p>
    <w:p>
      <w:pPr>
        <w:spacing w:line="480" w:lineRule="auto"/>
        <w:ind w:firstLine="5783" w:firstLineChars="2400"/>
        <w:rPr>
          <w:rFonts w:hint="eastAsia"/>
          <w:b/>
          <w:bCs/>
          <w:sz w:val="24"/>
          <w:szCs w:val="24"/>
          <w:lang w:val="en-US" w:eastAsia="zh-CN"/>
        </w:rPr>
      </w:pPr>
    </w:p>
    <w:p>
      <w:pPr>
        <w:spacing w:line="480" w:lineRule="auto"/>
        <w:ind w:firstLine="5783" w:firstLineChars="2400"/>
        <w:rPr>
          <w:rFonts w:hint="eastAsia"/>
          <w:b/>
          <w:bCs/>
          <w:sz w:val="24"/>
          <w:szCs w:val="24"/>
          <w:lang w:val="en-US" w:eastAsia="zh-CN"/>
        </w:rPr>
      </w:pPr>
      <w:r>
        <w:rPr>
          <w:rFonts w:hint="eastAsia"/>
          <w:b/>
          <w:bCs/>
          <w:sz w:val="24"/>
          <w:szCs w:val="24"/>
          <w:lang w:val="en-US" w:eastAsia="zh-CN"/>
        </w:rPr>
        <w:t>科主任签名：李宏剑</w:t>
      </w:r>
    </w:p>
    <w:p>
      <w:pPr>
        <w:keepNext w:val="0"/>
        <w:keepLines w:val="0"/>
        <w:pageBreakBefore w:val="0"/>
        <w:widowControl w:val="0"/>
        <w:kinsoku/>
        <w:wordWrap/>
        <w:overflowPunct/>
        <w:topLinePunct w:val="0"/>
        <w:autoSpaceDE/>
        <w:autoSpaceDN/>
        <w:bidi w:val="0"/>
        <w:adjustRightInd/>
        <w:snapToGrid/>
        <w:spacing w:afterAutospacing="0" w:line="480" w:lineRule="auto"/>
        <w:textAlignment w:val="auto"/>
        <w:rPr>
          <w:rFonts w:hint="default"/>
          <w:lang w:val="en-US" w:eastAsia="zh-CN"/>
        </w:rPr>
      </w:pPr>
      <w:r>
        <w:rPr>
          <w:rFonts w:hint="default" w:ascii="宋体" w:hAnsi="宋体"/>
          <w:sz w:val="24"/>
          <w:szCs w:val="24"/>
          <w:lang w:val="en-US" w:eastAsia="zh-CN"/>
        </w:rPr>
        <w:t xml:space="preserve">                                                </w:t>
      </w:r>
      <w:r>
        <w:rPr>
          <w:rFonts w:hint="eastAsia" w:ascii="宋体" w:hAnsi="宋体" w:eastAsia="宋体"/>
          <w:sz w:val="24"/>
          <w:szCs w:val="24"/>
        </w:rPr>
        <w:t>202</w:t>
      </w:r>
      <w:r>
        <w:rPr>
          <w:rFonts w:hint="eastAsia" w:ascii="宋体" w:hAnsi="宋体"/>
          <w:sz w:val="24"/>
          <w:szCs w:val="24"/>
          <w:lang w:val="en-US" w:eastAsia="zh-CN"/>
        </w:rPr>
        <w:t>5</w:t>
      </w:r>
      <w:r>
        <w:rPr>
          <w:rFonts w:hint="eastAsia" w:ascii="宋体" w:hAnsi="宋体" w:eastAsia="宋体"/>
          <w:sz w:val="24"/>
          <w:szCs w:val="24"/>
        </w:rPr>
        <w:t>年</w:t>
      </w:r>
      <w:r>
        <w:rPr>
          <w:rFonts w:hint="eastAsia" w:ascii="宋体" w:hAnsi="宋体"/>
          <w:sz w:val="24"/>
          <w:szCs w:val="24"/>
          <w:lang w:val="en-US" w:eastAsia="zh-CN"/>
        </w:rPr>
        <w:t>12</w:t>
      </w:r>
      <w:r>
        <w:rPr>
          <w:rFonts w:hint="eastAsia" w:ascii="宋体" w:hAnsi="宋体" w:eastAsia="宋体"/>
          <w:sz w:val="24"/>
          <w:szCs w:val="24"/>
        </w:rPr>
        <w:t>月</w:t>
      </w:r>
      <w:r>
        <w:rPr>
          <w:rFonts w:hint="eastAsia" w:ascii="宋体" w:hAnsi="宋体"/>
          <w:sz w:val="24"/>
          <w:szCs w:val="24"/>
          <w:lang w:val="en-US" w:eastAsia="zh-CN"/>
        </w:rPr>
        <w:t>3</w:t>
      </w:r>
      <w:r>
        <w:rPr>
          <w:rFonts w:hint="eastAsia" w:ascii="宋体" w:hAnsi="宋体" w:eastAsia="宋体"/>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UyNDI3YmY5ZjZhYjI0YzA4YzI0N2E1MGMzYjc2MmIifQ=="/>
  </w:docVars>
  <w:rsids>
    <w:rsidRoot w:val="78887C68"/>
    <w:rsid w:val="026E699E"/>
    <w:rsid w:val="0D082796"/>
    <w:rsid w:val="162639BD"/>
    <w:rsid w:val="16B0124D"/>
    <w:rsid w:val="181A3A94"/>
    <w:rsid w:val="18AC2124"/>
    <w:rsid w:val="1AC11F06"/>
    <w:rsid w:val="324842B9"/>
    <w:rsid w:val="37DD47C8"/>
    <w:rsid w:val="4246427A"/>
    <w:rsid w:val="4BD11919"/>
    <w:rsid w:val="4C0E4FC1"/>
    <w:rsid w:val="4CA61029"/>
    <w:rsid w:val="539F1B70"/>
    <w:rsid w:val="5D924D51"/>
    <w:rsid w:val="63065CD5"/>
    <w:rsid w:val="69F0140A"/>
    <w:rsid w:val="78887C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15"/>
      <w:szCs w:val="15"/>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pPr>
      <w:jc w:val="left"/>
    </w:pPr>
    <w:rPr>
      <w:rFonts w:ascii="Courier New" w:hAnsi="Courier New" w:cs="Courier New"/>
      <w:sz w:val="20"/>
      <w:szCs w:val="20"/>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1687</Words>
  <Characters>1792</Characters>
  <Lines>0</Lines>
  <Paragraphs>0</Paragraphs>
  <TotalTime>0</TotalTime>
  <ScaleCrop>false</ScaleCrop>
  <LinksUpToDate>false</LinksUpToDate>
  <CharactersWithSpaces>1864</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2023-02-28T14:58:00Z</dcterms:created>
  <dc:creator>张军</dc:creator>
  <cp:lastModifiedBy>张军</cp:lastModifiedBy>
  <dcterms:modified xsi:type="dcterms:W3CDTF">2025-12-09T10:03:20Z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y fmtid="{D5CDD505-2E9C-101B-9397-08002B2CF9AE}" pid="3" name="ICV">
    <vt:lpwstr>6668BED0071C438BBCE920AEC2911E36</vt:lpwstr>
  </property>
  <property fmtid="{D5CDD505-2E9C-101B-9397-08002B2CF9AE}" pid="4" name="KSOTemplateDocerSaveRecord">
    <vt:lpwstr>eyJoZGlkIjoiNmQ1MzEzNWIwYzhhNzQ2ZGY5YzA1NTNhMmM0MWI5YjYiLCJ1c2VySWQiOiI0NTQxNDM4MjQifQ==</vt:lpwstr>
  </property>
</Properties>
</file>