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宋体" w:hAnsi="宋体"/>
          <w:b/>
          <w:sz w:val="28"/>
          <w:szCs w:val="28"/>
          <w:lang w:val="en-US" w:eastAsia="zh-CN"/>
        </w:rPr>
      </w:pPr>
    </w:p>
    <w:p>
      <w:pPr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申购仪器设备的技术参数及配置要求</w:t>
      </w:r>
    </w:p>
    <w:tbl>
      <w:tblPr>
        <w:tblStyle w:val="4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4"/>
        <w:gridCol w:w="71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81" w:firstLineChars="100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项目名称</w:t>
            </w:r>
          </w:p>
        </w:tc>
        <w:tc>
          <w:tcPr>
            <w:tcW w:w="7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项参数说明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20" w:firstLineChars="50"/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申购设备名称</w:t>
            </w:r>
          </w:p>
        </w:tc>
        <w:tc>
          <w:tcPr>
            <w:tcW w:w="7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160" w:firstLineChars="900"/>
              <w:jc w:val="both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灌肠机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用途及适用人群</w:t>
            </w:r>
          </w:p>
        </w:tc>
        <w:tc>
          <w:tcPr>
            <w:tcW w:w="7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default" w:ascii="宋体"/>
                <w:sz w:val="24"/>
                <w:szCs w:val="24"/>
              </w:rPr>
              <w:t>用于外科手术前(后)通便、肠镜检查前的清洗，钡剂灌肠前的处理。适用于需做肠道清洗、给药及便秘等人群。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8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设备的功能要求</w:t>
            </w:r>
          </w:p>
        </w:tc>
        <w:tc>
          <w:tcPr>
            <w:tcW w:w="7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ind w:left="480" w:hanging="480" w:hangingChars="200"/>
              <w:jc w:val="left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应具有结肠灌洗、结肠透析、结肠水疗和给药功能。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3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0" w:afterLines="0"/>
              <w:rPr>
                <w:rFonts w:hint="default" w:ascii="宋体" w:hAnsi="宋体"/>
                <w:sz w:val="24"/>
                <w:szCs w:val="24"/>
              </w:rPr>
            </w:pPr>
            <w:r>
              <w:rPr>
                <w:rFonts w:hint="default" w:ascii="宋体" w:hAnsi="宋体"/>
                <w:sz w:val="24"/>
                <w:szCs w:val="24"/>
              </w:rPr>
              <w:t>1、温度控制：控温范围和测量精度：15℃～45℃；测温误差不大于±0.5℃</w:t>
            </w:r>
          </w:p>
          <w:p>
            <w:pPr>
              <w:spacing w:beforeLines="0" w:afterLines="0"/>
              <w:rPr>
                <w:rFonts w:hint="default" w:ascii="宋体" w:hAnsi="宋体"/>
                <w:sz w:val="24"/>
                <w:szCs w:val="24"/>
              </w:rPr>
            </w:pPr>
            <w:r>
              <w:rPr>
                <w:rFonts w:hint="default" w:ascii="宋体" w:hAnsi="宋体"/>
                <w:sz w:val="24"/>
                <w:szCs w:val="24"/>
              </w:rPr>
              <w:t>2、泵注液速度：主泵注液速度范围不小于0L／min～1.5L／min，流量可调；</w:t>
            </w:r>
          </w:p>
          <w:p>
            <w:pPr>
              <w:spacing w:beforeLines="0" w:afterLines="0"/>
              <w:rPr>
                <w:rFonts w:hint="default" w:ascii="宋体" w:hAnsi="宋体"/>
                <w:sz w:val="24"/>
                <w:szCs w:val="24"/>
              </w:rPr>
            </w:pPr>
            <w:r>
              <w:rPr>
                <w:rFonts w:hint="default" w:ascii="宋体" w:hAnsi="宋体"/>
                <w:sz w:val="24"/>
                <w:szCs w:val="24"/>
              </w:rPr>
              <w:t>3、灌注量及灌注误差：灌注量设定范围0-15L，总灌注量误差不大于±50ml/5000ml</w:t>
            </w:r>
          </w:p>
          <w:p>
            <w:pPr>
              <w:spacing w:beforeLines="0" w:afterLines="0"/>
              <w:rPr>
                <w:rFonts w:hint="default" w:ascii="宋体" w:hAnsi="宋体"/>
                <w:sz w:val="24"/>
                <w:szCs w:val="24"/>
              </w:rPr>
            </w:pPr>
            <w:r>
              <w:rPr>
                <w:rFonts w:hint="default" w:ascii="宋体" w:hAnsi="宋体"/>
                <w:sz w:val="24"/>
                <w:szCs w:val="24"/>
              </w:rPr>
              <w:t>4、压力设定范围及测压误差：压力报警设置范围不大于0kPa～200kPa，测压误差：±2kPa；</w:t>
            </w:r>
          </w:p>
          <w:p>
            <w:pPr>
              <w:spacing w:beforeLines="0" w:afterLines="0"/>
              <w:rPr>
                <w:rFonts w:hint="default" w:ascii="宋体" w:hAnsi="宋体"/>
                <w:sz w:val="24"/>
                <w:szCs w:val="24"/>
              </w:rPr>
            </w:pPr>
            <w:r>
              <w:rPr>
                <w:rFonts w:hint="default" w:ascii="宋体" w:hAnsi="宋体"/>
                <w:sz w:val="24"/>
                <w:szCs w:val="24"/>
              </w:rPr>
              <w:t>5、报警及保护功能：报警功能：设备发生如下情况，将进行报警提示：a)超预定温度报警；b)阻塞报警；c)液尽报警；d)超压报警。报警保护功能：发生上述报警后，设备应自动停止治疗，同时设备还应设有手动紧急停止开关按钮，紧急状况下可人为停止治疗。</w:t>
            </w:r>
          </w:p>
          <w:p>
            <w:pPr>
              <w:spacing w:beforeLines="0" w:afterLines="0"/>
              <w:rPr>
                <w:rFonts w:hint="default" w:ascii="宋体" w:hAnsi="宋体"/>
                <w:sz w:val="24"/>
                <w:szCs w:val="24"/>
              </w:rPr>
            </w:pPr>
            <w:r>
              <w:rPr>
                <w:rFonts w:hint="default" w:ascii="宋体" w:hAnsi="宋体"/>
                <w:sz w:val="24"/>
                <w:szCs w:val="24"/>
              </w:rPr>
              <w:t>*6、软件功能：嵌入式计算机软件，具有“药液配置”、“治疗方案设置”、“病人信息”、“系统检测和故障诊断”“帮助”菜单及“结肠透析”、“高位灌注”、“肠道灌洗”单一或组合序贯治疗模式。</w:t>
            </w:r>
          </w:p>
          <w:p>
            <w:pPr>
              <w:spacing w:beforeLines="0" w:afterLines="0"/>
              <w:rPr>
                <w:rFonts w:hint="default" w:ascii="宋体" w:hAnsi="宋体"/>
                <w:sz w:val="24"/>
                <w:szCs w:val="24"/>
              </w:rPr>
            </w:pPr>
            <w:r>
              <w:rPr>
                <w:rFonts w:hint="default" w:ascii="宋体" w:hAnsi="宋体"/>
                <w:sz w:val="24"/>
                <w:szCs w:val="24"/>
              </w:rPr>
              <w:t>7、设置功能：可按治疗需要设置“预定治疗时间”、“泵注液时间设定”、“泵间歇时间设定”三个参数；误差不超过±5％。</w:t>
            </w:r>
          </w:p>
          <w:p>
            <w:pPr>
              <w:spacing w:beforeLines="0" w:afterLines="0"/>
              <w:rPr>
                <w:rFonts w:hint="default" w:ascii="宋体" w:hAnsi="宋体"/>
                <w:sz w:val="24"/>
                <w:szCs w:val="24"/>
              </w:rPr>
            </w:pPr>
            <w:r>
              <w:rPr>
                <w:rFonts w:hint="default" w:ascii="宋体" w:hAnsi="宋体"/>
                <w:sz w:val="24"/>
                <w:szCs w:val="24"/>
              </w:rPr>
              <w:t>8、具有温度、液量、压力、时间参数的实时显示。</w:t>
            </w:r>
          </w:p>
          <w:p>
            <w:pPr>
              <w:spacing w:beforeLines="0" w:afterLines="0"/>
              <w:rPr>
                <w:rFonts w:hint="default" w:ascii="宋体" w:hAnsi="宋体"/>
                <w:sz w:val="24"/>
                <w:szCs w:val="24"/>
              </w:rPr>
            </w:pPr>
            <w:r>
              <w:rPr>
                <w:rFonts w:hint="default" w:ascii="宋体" w:hAnsi="宋体"/>
                <w:sz w:val="24"/>
                <w:szCs w:val="24"/>
              </w:rPr>
              <w:t>*9、具有灌注压力及排泄压力的双通道压力变化波形曲线并实时显示。</w:t>
            </w:r>
          </w:p>
          <w:p>
            <w:pPr>
              <w:spacing w:beforeLines="0" w:afterLines="0"/>
              <w:rPr>
                <w:rFonts w:hint="default" w:ascii="宋体" w:hAnsi="宋体"/>
                <w:sz w:val="24"/>
                <w:szCs w:val="24"/>
              </w:rPr>
            </w:pPr>
            <w:r>
              <w:rPr>
                <w:rFonts w:hint="default" w:ascii="宋体" w:hAnsi="宋体"/>
                <w:sz w:val="24"/>
                <w:szCs w:val="24"/>
              </w:rPr>
              <w:t>10、具有治疗阶段逐步提示培训功能；</w:t>
            </w:r>
          </w:p>
          <w:p>
            <w:pPr>
              <w:spacing w:line="48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default" w:ascii="宋体" w:hAnsi="宋体" w:eastAsia="宋体"/>
                <w:sz w:val="24"/>
                <w:szCs w:val="24"/>
              </w:rPr>
              <w:t>*11、高位结肠透析：设备压力传感器与双腔直肠导管配合，建立治疗通路至高位结肠。直肠导管为无菌一次性使用。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4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40" w:firstLineChars="100"/>
              <w:rPr>
                <w:rFonts w:hint="eastAsia"/>
                <w:sz w:val="24"/>
              </w:rPr>
            </w:pPr>
          </w:p>
          <w:p>
            <w:pPr>
              <w:ind w:firstLine="240" w:firstLineChars="100"/>
              <w:rPr>
                <w:rFonts w:hint="eastAsia"/>
                <w:sz w:val="24"/>
              </w:rPr>
            </w:pPr>
          </w:p>
          <w:p>
            <w:pPr>
              <w:ind w:firstLine="240" w:firstLineChars="100"/>
              <w:rPr>
                <w:rFonts w:hint="eastAsia"/>
                <w:sz w:val="24"/>
              </w:rPr>
            </w:pPr>
          </w:p>
          <w:p>
            <w:pPr>
              <w:ind w:firstLine="240" w:firstLineChars="100"/>
              <w:rPr>
                <w:rFonts w:hint="eastAsia"/>
                <w:sz w:val="24"/>
              </w:rPr>
            </w:pPr>
          </w:p>
          <w:p>
            <w:pPr>
              <w:ind w:firstLine="240" w:firstLineChars="100"/>
              <w:rPr>
                <w:rFonts w:hint="eastAsia"/>
                <w:sz w:val="24"/>
              </w:rPr>
            </w:pPr>
          </w:p>
          <w:p>
            <w:pPr>
              <w:ind w:firstLine="240" w:firstLineChars="100"/>
              <w:rPr>
                <w:rFonts w:hint="eastAsia"/>
                <w:sz w:val="24"/>
              </w:rPr>
            </w:pPr>
          </w:p>
          <w:p>
            <w:pPr>
              <w:ind w:firstLine="240" w:firstLineChars="100"/>
              <w:rPr>
                <w:rFonts w:hint="eastAsia"/>
                <w:sz w:val="24"/>
              </w:rPr>
            </w:pPr>
          </w:p>
          <w:p>
            <w:pPr>
              <w:ind w:firstLine="240" w:firstLineChars="100"/>
              <w:rPr>
                <w:rFonts w:hint="eastAsia"/>
                <w:sz w:val="24"/>
              </w:rPr>
            </w:pPr>
          </w:p>
          <w:p>
            <w:pPr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>
            <w:pPr>
              <w:ind w:firstLine="360" w:firstLineChars="150"/>
              <w:rPr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0" w:afterLines="0"/>
              <w:rPr>
                <w:rFonts w:hint="default"/>
                <w:sz w:val="24"/>
                <w:szCs w:val="15"/>
              </w:rPr>
            </w:pPr>
            <w:r>
              <w:rPr>
                <w:rFonts w:hint="default" w:ascii="宋体"/>
                <w:sz w:val="24"/>
                <w:szCs w:val="15"/>
              </w:rPr>
              <w:t>1、主机1台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default" w:ascii="宋体" w:hAnsi="宋体" w:eastAsia="宋体"/>
                <w:sz w:val="24"/>
                <w:szCs w:val="24"/>
              </w:rPr>
              <w:t>2、结肠途径治疗机系统1套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562" w:firstLineChars="200"/>
              <w:textAlignment w:val="auto"/>
              <w:rPr>
                <w:rFonts w:hint="eastAsia" w:ascii="宋体" w:hAnsi="宋体" w:cs="宋体"/>
                <w:bCs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sz w:val="28"/>
                <w:szCs w:val="28"/>
                <w:lang w:val="en-US" w:eastAsia="zh-CN"/>
              </w:rPr>
              <w:t>售后服务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560" w:firstLineChars="200"/>
              <w:jc w:val="left"/>
              <w:textAlignment w:val="auto"/>
              <w:rPr>
                <w:rFonts w:hint="eastAsia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  <w:t>▲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  <w:t>1.</w:t>
            </w: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>设备使用</w:t>
            </w:r>
            <w:r>
              <w:rPr>
                <w:rFonts w:hint="eastAsia" w:ascii="Times New Roman" w:hAnsi="Times New Roman" w:cs="Times New Roman"/>
                <w:color w:val="auto"/>
                <w:sz w:val="28"/>
                <w:szCs w:val="28"/>
                <w:lang w:val="en-US" w:eastAsia="zh-CN"/>
              </w:rPr>
              <w:t>期限</w:t>
            </w:r>
            <w:r>
              <w:rPr>
                <w:rFonts w:hint="eastAsia" w:ascii="宋体" w:hAnsi="宋体" w:eastAsia="宋体" w:cs="宋体"/>
                <w:b/>
                <w:bCs/>
                <w:color w:val="C00000"/>
                <w:sz w:val="28"/>
                <w:szCs w:val="28"/>
                <w:lang w:val="en-US" w:eastAsia="zh-CN"/>
              </w:rPr>
              <w:t>≧</w:t>
            </w:r>
            <w:r>
              <w:rPr>
                <w:rFonts w:hint="eastAsia" w:ascii="Times New Roman" w:hAnsi="Times New Roman" w:cs="Times New Roman"/>
                <w:b/>
                <w:bCs/>
                <w:color w:val="C00000"/>
                <w:sz w:val="28"/>
                <w:szCs w:val="28"/>
                <w:lang w:val="en-US" w:eastAsia="zh-CN"/>
              </w:rPr>
              <w:t>5年</w:t>
            </w:r>
            <w:r>
              <w:rPr>
                <w:rFonts w:hint="eastAsia" w:ascii="Times New Roman" w:hAnsi="Times New Roman" w:cs="Times New Roman"/>
                <w:color w:val="auto"/>
                <w:sz w:val="28"/>
                <w:szCs w:val="28"/>
                <w:lang w:val="en-US" w:eastAsia="zh-CN"/>
              </w:rPr>
              <w:t>，设</w:t>
            </w: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>备的生产日期和合同签订的时间间隔不大于6个月。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560" w:firstLineChars="200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  <w:t>▲</w:t>
            </w: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lang w:val="en-US" w:eastAsia="zh-CN"/>
              </w:rPr>
              <w:t>2.</w:t>
            </w:r>
            <w:bookmarkStart w:id="0" w:name="OLE_LINK3"/>
            <w:bookmarkStart w:id="1" w:name="OLE_LINK4"/>
            <w:bookmarkStart w:id="2" w:name="OLE_LINK5"/>
            <w:bookmarkStart w:id="3" w:name="OLE_LINK2"/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lang w:val="en-US" w:eastAsia="zh-CN"/>
              </w:rPr>
              <w:t>整机免费质保</w:t>
            </w:r>
            <w:r>
              <w:rPr>
                <w:rFonts w:hint="eastAsia" w:ascii="宋体" w:hAnsi="宋体" w:eastAsia="宋体" w:cs="宋体"/>
                <w:b/>
                <w:bCs/>
                <w:color w:val="C00000"/>
                <w:sz w:val="28"/>
                <w:szCs w:val="28"/>
                <w:lang w:val="en-US" w:eastAsia="zh-CN"/>
              </w:rPr>
              <w:t>≧5年</w:t>
            </w: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lang w:val="en-US" w:eastAsia="zh-CN"/>
              </w:rPr>
              <w:t>；设备设计使用的耗材必须为开放的耗材，并提供阳光网能点配价格，验收时提供三个以上厂家的耗材使用进行验收。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560" w:firstLineChars="200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  <w:t>▲</w:t>
            </w: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lang w:val="en-US" w:eastAsia="zh-CN"/>
              </w:rPr>
              <w:t>3.验收同时提供纸质版和电子版产品说明书。</w:t>
            </w:r>
            <w:bookmarkEnd w:id="0"/>
            <w:bookmarkEnd w:id="1"/>
            <w:bookmarkEnd w:id="2"/>
            <w:bookmarkEnd w:id="3"/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lang w:val="en-US" w:eastAsia="zh-CN"/>
              </w:rPr>
              <w:t>供货时应同时附上中文使用说明书（包括纸质版和电子版）。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560" w:firstLineChars="200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  <w:t>▲</w:t>
            </w: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lang w:val="en-US" w:eastAsia="zh-CN"/>
              </w:rPr>
              <w:t>4.</w:t>
            </w:r>
            <w:bookmarkStart w:id="4" w:name="OLE_LINK6"/>
            <w:bookmarkStart w:id="5" w:name="OLE_LINK7"/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lang w:val="en-US" w:eastAsia="zh-CN"/>
              </w:rPr>
              <w:t>为确保设备的售后服务质量，乙方必须提供其厂家免费质保</w:t>
            </w:r>
            <w:r>
              <w:rPr>
                <w:rFonts w:hint="eastAsia" w:ascii="宋体" w:hAnsi="宋体" w:eastAsia="宋体" w:cs="宋体"/>
                <w:b/>
                <w:bCs/>
                <w:color w:val="C00000"/>
                <w:sz w:val="28"/>
                <w:szCs w:val="28"/>
                <w:lang w:val="en-US" w:eastAsia="zh-CN"/>
              </w:rPr>
              <w:t>≧5年</w:t>
            </w: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lang w:val="en-US" w:eastAsia="zh-CN"/>
              </w:rPr>
              <w:t>的售后服务承诺书，包括设备厂家提供产品的终身免费升级服务。</w:t>
            </w:r>
            <w:bookmarkEnd w:id="4"/>
            <w:bookmarkEnd w:id="5"/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560" w:firstLineChars="200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  <w:t>▲</w:t>
            </w: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lang w:val="en-US" w:eastAsia="zh-CN"/>
              </w:rPr>
              <w:t>5.设备的检验数据涉及接入我院LIS网络的和HIS网络的，验收时按我院要求做好对接，产生的费用全部由中标方承担。</w:t>
            </w:r>
          </w:p>
          <w:p>
            <w:pPr>
              <w:jc w:val="left"/>
              <w:rPr>
                <w:rFonts w:hint="default" w:eastAsia="宋体"/>
                <w:sz w:val="24"/>
                <w:lang w:val="en-US" w:eastAsia="zh-CN"/>
              </w:rPr>
            </w:pP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bookmarkStart w:id="6" w:name="_GoBack"/>
      <w:bookmarkEnd w:id="6"/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三、配件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设备出保修期后配件的价格：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2521"/>
        <w:gridCol w:w="1704"/>
        <w:gridCol w:w="1704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52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配件名称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更换频率（次/年）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配件价格（元）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年合计费用（元）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8"/>
                <w:szCs w:val="28"/>
                <w:vertAlign w:val="baseline"/>
                <w:lang w:val="en-US" w:eastAsia="zh-CN"/>
              </w:rPr>
              <w:t>……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合计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 w:ascii="Times New Roman" w:hAnsi="Times New Roman" w:eastAsia="宋体" w:cs="Times New Roman"/>
          <w:b/>
          <w:bCs/>
          <w:color w:val="C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val="en-US" w:eastAsia="zh-CN"/>
        </w:rPr>
        <w:t>备注：此表由供应商填写，作为评标的重要依据。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四、设备和检验试剂关系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996"/>
        <w:gridCol w:w="683"/>
        <w:gridCol w:w="839"/>
        <w:gridCol w:w="840"/>
        <w:gridCol w:w="840"/>
        <w:gridCol w:w="849"/>
        <w:gridCol w:w="836"/>
        <w:gridCol w:w="836"/>
        <w:gridCol w:w="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96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设备单价（元）</w:t>
            </w:r>
          </w:p>
        </w:tc>
        <w:tc>
          <w:tcPr>
            <w:tcW w:w="683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国产/进口</w:t>
            </w: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是否专机专用耗材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耗材品牌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耗材名称</w:t>
            </w:r>
          </w:p>
        </w:tc>
        <w:tc>
          <w:tcPr>
            <w:tcW w:w="849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集采/阳光网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阳光网成交价格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</w:tbl>
    <w:p>
      <w:pPr>
        <w:rPr>
          <w:rFonts w:hint="eastAsia" w:ascii="宋体" w:hAnsi="宋体" w:eastAsia="宋体" w:cs="宋体"/>
          <w:color w:val="auto"/>
          <w:lang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val="en-US" w:eastAsia="zh-CN"/>
        </w:rPr>
        <w:t>（备注：此表由供应商填写，作为评标的重要依据。</w:t>
      </w: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eastAsia="zh-CN"/>
        </w:rPr>
        <w:t>）</w:t>
      </w:r>
    </w:p>
    <w:p>
      <w:pPr>
        <w:spacing w:line="480" w:lineRule="auto"/>
        <w:jc w:val="left"/>
        <w:rPr>
          <w:rFonts w:hint="default"/>
          <w:color w:val="auto"/>
          <w:sz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2157629"/>
    <w:rsid w:val="0EAD6D06"/>
    <w:rsid w:val="34831B12"/>
    <w:rsid w:val="446E15CA"/>
    <w:rsid w:val="49346615"/>
    <w:rsid w:val="73B15F0A"/>
    <w:rsid w:val="770A5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character" w:default="1" w:styleId="6">
    <w:name w:val="Default Paragraph Font"/>
    <w:qFormat/>
    <w:uiPriority w:val="0"/>
  </w:style>
  <w:style w:type="table" w:default="1" w:styleId="4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paragraph" w:customStyle="1" w:styleId="8">
    <w:name w:val="表格文字"/>
    <w:unhideWhenUsed/>
    <w:qFormat/>
    <w:uiPriority w:val="0"/>
    <w:pPr>
      <w:spacing w:before="25" w:beforeLines="0" w:after="25" w:afterLines="0"/>
    </w:pPr>
    <w:rPr>
      <w:rFonts w:hint="default" w:ascii="Calibri" w:hAnsi="Calibri" w:eastAsia="宋体" w:cs="宋体"/>
      <w:spacing w:val="1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1335</Words>
  <Characters>1370</Characters>
  <Paragraphs>87</Paragraphs>
  <TotalTime>1</TotalTime>
  <ScaleCrop>false</ScaleCrop>
  <LinksUpToDate>false</LinksUpToDate>
  <CharactersWithSpaces>1383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蔡永宇</cp:lastModifiedBy>
  <dcterms:modified xsi:type="dcterms:W3CDTF">2025-09-29T09:35:37Z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152AB9743CF94C2D8CC511D1CBA9F597_13</vt:lpwstr>
  </property>
</Properties>
</file>