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AFEF1">
      <w:pPr>
        <w:pStyle w:val="23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核磁共振成像系统（MRI）维保服务</w:t>
      </w:r>
    </w:p>
    <w:p w14:paraId="01288849">
      <w:pPr>
        <w:pStyle w:val="23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需求</w:t>
      </w:r>
    </w:p>
    <w:p w14:paraId="7093AE7A">
      <w:pPr>
        <w:pStyle w:val="5"/>
      </w:pPr>
      <w:bookmarkStart w:id="0" w:name="硬件维护需求"/>
      <w:r>
        <w:rPr>
          <w:rFonts w:hint="eastAsia"/>
          <w:lang w:val="en-US" w:eastAsia="zh-CN"/>
        </w:rPr>
        <w:t>一、</w:t>
      </w:r>
      <w:r>
        <w:t>硬件维护需求</w:t>
      </w:r>
    </w:p>
    <w:p w14:paraId="3A06EBE5">
      <w:pPr>
        <w:pStyle w:val="24"/>
        <w:numPr>
          <w:ilvl w:val="0"/>
          <w:numId w:val="1"/>
        </w:numPr>
      </w:pPr>
      <w:r>
        <w:rPr>
          <w:b/>
          <w:bCs/>
        </w:rPr>
        <w:t>磁体系统</w:t>
      </w:r>
      <w:r>
        <w:t>：</w:t>
      </w:r>
    </w:p>
    <w:p w14:paraId="4D8C3FCB">
      <w:pPr>
        <w:pStyle w:val="24"/>
        <w:numPr>
          <w:ilvl w:val="1"/>
          <w:numId w:val="1"/>
        </w:numPr>
      </w:pPr>
      <w:r>
        <w:t>定期检查主磁体的磁场强度和均匀性，确保其符合设备正常运行的标准。任何磁场偏差都可能影响成像质量，因此需使用专业设备进行精确测量和校准。</w:t>
      </w:r>
    </w:p>
    <w:p w14:paraId="781DF1A6">
      <w:pPr>
        <w:pStyle w:val="24"/>
        <w:numPr>
          <w:ilvl w:val="1"/>
          <w:numId w:val="1"/>
        </w:numPr>
      </w:pPr>
      <w:r>
        <w:t>监测磁体的冷却系统，包括液氦水平（对于超导磁体）、冷水机组运行状况等。液氦不足可能导致磁体失超，造成严重损坏且维修成本高昂，所以要确保液氦量维持在安全范围内，并及时补充；冷水机组若出现故障，会影响磁体散热，也需及时修复。</w:t>
      </w:r>
    </w:p>
    <w:p w14:paraId="2BDB1AC0">
      <w:pPr>
        <w:pStyle w:val="24"/>
        <w:numPr>
          <w:ilvl w:val="0"/>
          <w:numId w:val="1"/>
        </w:numPr>
      </w:pPr>
      <w:r>
        <w:rPr>
          <w:b/>
          <w:bCs/>
        </w:rPr>
        <w:t>梯度系统</w:t>
      </w:r>
      <w:r>
        <w:t>：</w:t>
      </w:r>
    </w:p>
    <w:p w14:paraId="283D1E82">
      <w:pPr>
        <w:pStyle w:val="24"/>
        <w:numPr>
          <w:ilvl w:val="1"/>
          <w:numId w:val="1"/>
        </w:numPr>
      </w:pPr>
      <w:r>
        <w:t>检查梯度线圈的连接是否松动，因为在设备运行过程中，震动等因素可能导致连接部位出现松动，从而影响梯度场的正常产生，进而影响成像的分辨率和准确性。</w:t>
      </w:r>
    </w:p>
    <w:p w14:paraId="649C5DC7">
      <w:pPr>
        <w:pStyle w:val="24"/>
        <w:numPr>
          <w:ilvl w:val="1"/>
          <w:numId w:val="1"/>
        </w:numPr>
      </w:pPr>
      <w:r>
        <w:t>对梯度放大器进行性能测试，确保其能够提供稳定且准确的电流来驱动梯度线圈，产生符合要求的梯度磁场。若放大器性能下降，会使图像出现伪影或变形。</w:t>
      </w:r>
    </w:p>
    <w:p w14:paraId="435CCCBD">
      <w:pPr>
        <w:pStyle w:val="24"/>
        <w:numPr>
          <w:ilvl w:val="0"/>
          <w:numId w:val="1"/>
        </w:numPr>
      </w:pPr>
      <w:r>
        <w:rPr>
          <w:b/>
          <w:bCs/>
        </w:rPr>
        <w:t>射频系统</w:t>
      </w:r>
      <w:r>
        <w:t>：</w:t>
      </w:r>
    </w:p>
    <w:p w14:paraId="4C20144A">
      <w:pPr>
        <w:pStyle w:val="24"/>
        <w:numPr>
          <w:ilvl w:val="1"/>
          <w:numId w:val="1"/>
        </w:numPr>
      </w:pPr>
      <w:r>
        <w:t>定期清洁射频线圈，去除灰尘、污垢等杂质，以保证良好的射频信号接收和发射效果。脏污的线圈会降低信号传输效率，导致图像信噪比下降。</w:t>
      </w:r>
    </w:p>
    <w:p w14:paraId="29B7F078">
      <w:pPr>
        <w:pStyle w:val="24"/>
        <w:numPr>
          <w:ilvl w:val="1"/>
          <w:numId w:val="1"/>
        </w:numPr>
      </w:pPr>
      <w:r>
        <w:t>检测射频功率放大器的输出功率和频率稳定性，确保其能为射频脉冲提供足够且准确的能量，使氢原子核能够有效地被激发和共振，从而得到清晰的图像。</w:t>
      </w:r>
    </w:p>
    <w:bookmarkEnd w:id="0"/>
    <w:p w14:paraId="4808DA3A">
      <w:pPr>
        <w:pStyle w:val="5"/>
      </w:pPr>
      <w:bookmarkStart w:id="1" w:name="软件维护需求"/>
      <w:r>
        <w:rPr>
          <w:rFonts w:hint="eastAsia"/>
          <w:lang w:val="en-US" w:eastAsia="zh-CN"/>
        </w:rPr>
        <w:t>二、</w:t>
      </w:r>
      <w:r>
        <w:t>软件维护需求</w:t>
      </w:r>
    </w:p>
    <w:p w14:paraId="0389D394">
      <w:pPr>
        <w:pStyle w:val="24"/>
        <w:numPr>
          <w:ilvl w:val="0"/>
          <w:numId w:val="1"/>
        </w:numPr>
      </w:pPr>
      <w:r>
        <w:rPr>
          <w:b/>
          <w:bCs/>
        </w:rPr>
        <w:t>操作系统更新</w:t>
      </w:r>
      <w:r>
        <w:t>：及时安装MRI设备操作系统的安全补丁和更新版本，以修复已知漏洞，提高系统的稳定性和安全性，防止因系统漏洞导致设备被攻击或出现运行故障。</w:t>
      </w:r>
    </w:p>
    <w:p w14:paraId="3C885B1A">
      <w:pPr>
        <w:pStyle w:val="24"/>
        <w:numPr>
          <w:ilvl w:val="0"/>
          <w:numId w:val="1"/>
        </w:numPr>
      </w:pPr>
      <w:r>
        <w:rPr>
          <w:b/>
          <w:bCs/>
        </w:rPr>
        <w:t>成像序列软件维护</w:t>
      </w:r>
      <w:r>
        <w:t>：随着医学影像技术的不断发展，新的成像序列不断涌现。需要对设备的成像序列软件进行定期升级，以提供更丰富、更准确的成像功能，满足临床诊断日益多样化的需求。同时，要确保现有成像序列的参数设置准确无误，避免因软件故障导致成像参数错误，影响图像质量。</w:t>
      </w:r>
    </w:p>
    <w:bookmarkEnd w:id="1"/>
    <w:p w14:paraId="6B330B35">
      <w:pPr>
        <w:pStyle w:val="5"/>
      </w:pPr>
      <w:bookmarkStart w:id="2" w:name="日常巡检需求"/>
      <w:r>
        <w:rPr>
          <w:rFonts w:hint="eastAsia"/>
          <w:lang w:val="en-US" w:eastAsia="zh-CN"/>
        </w:rPr>
        <w:t>三、</w:t>
      </w:r>
      <w:r>
        <w:t>日常巡检需求</w:t>
      </w:r>
    </w:p>
    <w:p w14:paraId="6C2F7C2A">
      <w:pPr>
        <w:pStyle w:val="24"/>
        <w:numPr>
          <w:ilvl w:val="0"/>
          <w:numId w:val="1"/>
        </w:numPr>
      </w:pPr>
      <w:r>
        <w:rPr>
          <w:b/>
          <w:bCs/>
        </w:rPr>
        <w:t>设备运行状态检查</w:t>
      </w:r>
      <w:r>
        <w:t>：每日开机前和关机后，对设备的整体运行状态进行检查，包括各指示灯是否正常、设备有无异常声响、制冷系统和通风系统是否正常运转等。通过这些简单的检查可以及时发现一些潜在的问题，以便在问题恶化之前进行处理。</w:t>
      </w:r>
    </w:p>
    <w:p w14:paraId="66D98EE6">
      <w:pPr>
        <w:pStyle w:val="24"/>
        <w:numPr>
          <w:ilvl w:val="0"/>
          <w:numId w:val="1"/>
        </w:numPr>
      </w:pPr>
      <w:r>
        <w:rPr>
          <w:b/>
          <w:bCs/>
        </w:rPr>
        <w:t>图像质量评估</w:t>
      </w:r>
      <w:r>
        <w:t>：定期对设备生成的图像进行质量评估，检查图像的分辨率、对比度、信噪比等关键指标是否符合要求。如果发现图像质量下降，要及时排查是硬件还是软件方面的原因，并采取相应的措施加以解决。</w:t>
      </w:r>
    </w:p>
    <w:p w14:paraId="6A2B0674">
      <w:pPr>
        <w:pStyle w:val="24"/>
        <w:numPr>
          <w:ilvl w:val="0"/>
          <w:numId w:val="1"/>
        </w:numPr>
        <w:rPr>
          <w:b/>
          <w:bCs/>
          <w:color w:val="FF0000"/>
        </w:rPr>
      </w:pPr>
      <w:r>
        <w:rPr>
          <w:rFonts w:hint="eastAsia"/>
          <w:b/>
          <w:bCs/>
          <w:color w:val="FF0000"/>
          <w:lang w:val="en-US" w:eastAsia="zh-CN"/>
        </w:rPr>
        <w:t>按医院要求留档保存。</w:t>
      </w:r>
    </w:p>
    <w:bookmarkEnd w:id="2"/>
    <w:p w14:paraId="53157A92">
      <w:pPr>
        <w:pStyle w:val="5"/>
      </w:pPr>
      <w:bookmarkStart w:id="3" w:name="故障维修需求"/>
      <w:r>
        <w:rPr>
          <w:rFonts w:hint="eastAsia"/>
          <w:lang w:val="en-US" w:eastAsia="zh-CN"/>
        </w:rPr>
        <w:t>四、</w:t>
      </w:r>
      <w:r>
        <w:t>故障维修需求</w:t>
      </w:r>
    </w:p>
    <w:p w14:paraId="346AF2E9">
      <w:pPr>
        <w:pStyle w:val="24"/>
        <w:numPr>
          <w:ilvl w:val="0"/>
          <w:numId w:val="1"/>
        </w:numPr>
      </w:pPr>
      <w:r>
        <w:rPr>
          <w:b/>
          <w:bCs/>
        </w:rPr>
        <w:t>快速响应机制</w:t>
      </w:r>
      <w:r>
        <w:t>：建立快速响应的故障维修团队，当设备出现故障时，能够在最短的时间内赶到现场进行维修。因为MRI设备的停机时间过长会影响医院的正常诊疗工作，给患者带来不便。</w:t>
      </w:r>
    </w:p>
    <w:p w14:paraId="174C94E4">
      <w:pPr>
        <w:pStyle w:val="24"/>
        <w:numPr>
          <w:ilvl w:val="0"/>
          <w:numId w:val="1"/>
        </w:numPr>
      </w:pPr>
      <w:r>
        <w:rPr>
          <w:b/>
          <w:bCs/>
        </w:rPr>
        <w:t>备件供应保障</w:t>
      </w:r>
      <w:r>
        <w:t>：储备充足的常用备件，包括各种电路板、线圈、传感器等，确保在设备出现故障时能够及时更换损坏的部件，减少维修时间。同时，要建立良好的备件采购渠道，对于一些不常用但关键的备件，也能在短时间内获取。</w:t>
      </w:r>
    </w:p>
    <w:p w14:paraId="572B0BD4">
      <w:pPr>
        <w:pStyle w:val="24"/>
        <w:numPr>
          <w:ilvl w:val="0"/>
          <w:numId w:val="1"/>
        </w:numPr>
        <w:rPr>
          <w:b/>
          <w:bCs/>
          <w:color w:val="FF0000"/>
        </w:rPr>
      </w:pPr>
      <w:r>
        <w:rPr>
          <w:rFonts w:hint="eastAsia"/>
          <w:b/>
          <w:bCs/>
          <w:color w:val="FF0000"/>
          <w:lang w:val="en-US" w:eastAsia="zh-CN"/>
        </w:rPr>
        <w:t>按医院要求留档保存。</w:t>
      </w:r>
    </w:p>
    <w:bookmarkEnd w:id="3"/>
    <w:p w14:paraId="611F775D">
      <w:pPr>
        <w:pStyle w:val="5"/>
      </w:pPr>
      <w:bookmarkStart w:id="4" w:name="性能优化需求"/>
      <w:r>
        <w:rPr>
          <w:rFonts w:hint="eastAsia"/>
          <w:lang w:val="en-US" w:eastAsia="zh-CN"/>
        </w:rPr>
        <w:t>五、</w:t>
      </w:r>
      <w:r>
        <w:t>性能优化需求</w:t>
      </w:r>
    </w:p>
    <w:p w14:paraId="7F8235F8">
      <w:pPr>
        <w:pStyle w:val="24"/>
        <w:numPr>
          <w:ilvl w:val="0"/>
          <w:numId w:val="1"/>
        </w:numPr>
      </w:pPr>
      <w:r>
        <w:rPr>
          <w:b/>
          <w:bCs/>
        </w:rPr>
        <w:t>定期校准</w:t>
      </w:r>
      <w:r>
        <w:t>：按照设备制造商的建议，定期对MRI设备进行全面校准，包括磁场校准、梯度校准、射频校准等。通过校准可以使设备恢复到最佳的运行状态，提高成像质量和设备的性能稳定性。</w:t>
      </w:r>
    </w:p>
    <w:p w14:paraId="6B2781A7">
      <w:pPr>
        <w:pStyle w:val="24"/>
        <w:numPr>
          <w:ilvl w:val="0"/>
          <w:numId w:val="1"/>
        </w:numPr>
      </w:pPr>
      <w:r>
        <w:rPr>
          <w:b/>
          <w:bCs/>
        </w:rPr>
        <w:t>参数调整</w:t>
      </w:r>
      <w:r>
        <w:t>：根据临床使用反馈和设备的实际运行情况，对设备的成像参数进行合理调整。例如，针对不同部位的成像需求，调整射频脉冲的强度、梯度场的斜率等参数，以获得更清晰、更具诊断价值的图像。</w:t>
      </w:r>
    </w:p>
    <w:bookmarkEnd w:id="4"/>
    <w:p w14:paraId="7C3D3C67">
      <w:pPr>
        <w:pStyle w:val="5"/>
      </w:pPr>
      <w:bookmarkStart w:id="5" w:name="安全保障需求"/>
      <w:r>
        <w:rPr>
          <w:rFonts w:hint="eastAsia"/>
          <w:lang w:val="en-US" w:eastAsia="zh-CN"/>
        </w:rPr>
        <w:t>六、</w:t>
      </w:r>
      <w:r>
        <w:t>安全保障需求</w:t>
      </w:r>
    </w:p>
    <w:p w14:paraId="57910BB6">
      <w:pPr>
        <w:pStyle w:val="24"/>
        <w:numPr>
          <w:ilvl w:val="0"/>
          <w:numId w:val="1"/>
        </w:numPr>
      </w:pPr>
      <w:r>
        <w:rPr>
          <w:b/>
          <w:bCs/>
        </w:rPr>
        <w:t>辐射防护检查</w:t>
      </w:r>
      <w:r>
        <w:t>：虽然MRI设备不像X射线设备那样产生电离辐射，但在其运行过程中，仍需检查设备的电磁屏蔽措施是否有效，防止射频辐射泄漏对操作人员和患者造成潜在危害。</w:t>
      </w:r>
    </w:p>
    <w:p w14:paraId="135A96CF">
      <w:pPr>
        <w:pStyle w:val="24"/>
        <w:numPr>
          <w:ilvl w:val="0"/>
          <w:numId w:val="1"/>
        </w:numPr>
      </w:pPr>
      <w:r>
        <w:rPr>
          <w:b/>
          <w:bCs/>
        </w:rPr>
        <w:t>电气安全检查</w:t>
      </w:r>
      <w:r>
        <w:t>：定期对设备的电气系统进行安全检查，包括接地是否良好、绝缘电阻是否符合要求等。确保设备在运行过程中不会因电气故障引发安全事故，如触电、火灾等。</w:t>
      </w:r>
    </w:p>
    <w:p w14:paraId="6E11717E"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</w:p>
    <w:p w14:paraId="2E6ACA2E">
      <w:pPr>
        <w:pStyle w:val="24"/>
        <w:numPr>
          <w:ilvl w:val="0"/>
          <w:numId w:val="0"/>
        </w:numPr>
        <w:ind w:left="720" w:leftChars="0" w:hanging="480" w:firstLineChars="0"/>
      </w:pPr>
      <w:r>
        <w:rPr>
          <w:rFonts w:hint="eastAsia"/>
          <w:b/>
          <w:bCs/>
          <w:lang w:val="en-US" w:eastAsia="zh-CN"/>
        </w:rPr>
        <w:t>七、</w:t>
      </w:r>
      <w:r>
        <w:rPr>
          <w:b/>
          <w:bCs/>
        </w:rPr>
        <w:t>费用结构</w:t>
      </w:r>
      <w:r>
        <w:t>：</w:t>
      </w:r>
      <w:r>
        <w:rPr>
          <w:rFonts w:hint="eastAsia"/>
          <w:lang w:val="en-US" w:eastAsia="zh-CN"/>
        </w:rPr>
        <w:t>维保服务费在合同签订后每半年拨付一次。</w:t>
      </w:r>
    </w:p>
    <w:p w14:paraId="6B401526"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t>核磁共振成像系统的维保</w:t>
      </w:r>
      <w:r>
        <w:rPr>
          <w:rFonts w:hint="eastAsia"/>
          <w:lang w:val="en-US" w:eastAsia="zh-CN"/>
        </w:rPr>
        <w:t>包括：</w:t>
      </w:r>
      <w:r>
        <w:t>硬件、软件、日常巡检、故障维修、性能优化和安全保障等多个方面，全面、细致地做好各项维保工作，确保设备的正常运行，为医疗诊断提供高质量的影像服务。</w:t>
      </w:r>
    </w:p>
    <w:p w14:paraId="6F3C7EA6">
      <w:pPr>
        <w:pStyle w:val="3"/>
      </w:pPr>
    </w:p>
    <w:p w14:paraId="04C57689">
      <w:pPr>
        <w:pStyle w:val="3"/>
      </w:pPr>
    </w:p>
    <w:p w14:paraId="71788822">
      <w:pPr>
        <w:pStyle w:val="3"/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CEC93AD">
      <w:pPr>
        <w:pStyle w:val="3"/>
        <w:rPr>
          <w:rFonts w:hint="default"/>
          <w:lang w:val="en-US" w:eastAsia="zh-CN"/>
        </w:rPr>
      </w:pPr>
      <w:bookmarkStart w:id="6" w:name="_GoBack"/>
      <w:bookmarkEnd w:id="6"/>
    </w:p>
    <w:bookmarkEnd w:id="5"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A991"/>
    <w:multiLevelType w:val="multilevel"/>
    <w:tmpl w:val="0000A991"/>
    <w:lvl w:ilvl="0" w:tentative="0">
      <w:start w:val="0"/>
      <w:numFmt w:val="bullet"/>
      <w:lvlText w:val="•"/>
      <w:lvlJc w:val="left"/>
      <w:pPr>
        <w:ind w:left="720" w:hanging="480"/>
      </w:pPr>
    </w:lvl>
    <w:lvl w:ilvl="1" w:tentative="0">
      <w:start w:val="0"/>
      <w:numFmt w:val="bullet"/>
      <w:lvlText w:val="–"/>
      <w:lvlJc w:val="left"/>
      <w:pPr>
        <w:ind w:left="1440" w:hanging="480"/>
      </w:pPr>
    </w:lvl>
    <w:lvl w:ilvl="2" w:tentative="0">
      <w:start w:val="0"/>
      <w:numFmt w:val="bullet"/>
      <w:lvlText w:val="•"/>
      <w:lvlJc w:val="left"/>
      <w:pPr>
        <w:ind w:left="2160" w:hanging="480"/>
      </w:pPr>
    </w:lvl>
    <w:lvl w:ilvl="3" w:tentative="0">
      <w:start w:val="0"/>
      <w:numFmt w:val="bullet"/>
      <w:lvlText w:val="–"/>
      <w:lvlJc w:val="left"/>
      <w:pPr>
        <w:ind w:left="2880" w:hanging="480"/>
      </w:pPr>
    </w:lvl>
    <w:lvl w:ilvl="4" w:tentative="0">
      <w:start w:val="0"/>
      <w:numFmt w:val="bullet"/>
      <w:lvlText w:val="•"/>
      <w:lvlJc w:val="left"/>
      <w:pPr>
        <w:ind w:left="3600" w:hanging="480"/>
      </w:pPr>
    </w:lvl>
    <w:lvl w:ilvl="5" w:tentative="0">
      <w:start w:val="0"/>
      <w:numFmt w:val="bullet"/>
      <w:lvlText w:val="–"/>
      <w:lvlJc w:val="left"/>
      <w:pPr>
        <w:ind w:left="4320" w:hanging="480"/>
      </w:pPr>
    </w:lvl>
    <w:lvl w:ilvl="6" w:tentative="0">
      <w:start w:val="0"/>
      <w:numFmt w:val="bullet"/>
      <w:lvlText w:val="•"/>
      <w:lvlJc w:val="left"/>
      <w:pPr>
        <w:ind w:left="5040" w:hanging="480"/>
      </w:pPr>
    </w:lvl>
    <w:lvl w:ilvl="7" w:tentative="0">
      <w:start w:val="0"/>
      <w:numFmt w:val="bullet"/>
      <w:lvlText w:val="–"/>
      <w:lvlJc w:val="left"/>
      <w:pPr>
        <w:ind w:left="5760" w:hanging="480"/>
      </w:pPr>
    </w:lvl>
    <w:lvl w:ilvl="8" w:tentative="0">
      <w:start w:val="0"/>
      <w:numFmt w:val="bullet"/>
      <w:lvlText w:val="•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D57DD9"/>
    <w:rsid w:val="47E2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12">
    <w:name w:val="caption"/>
    <w:basedOn w:val="1"/>
    <w:next w:val="1"/>
    <w:link w:val="21"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spacing w:before="240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题注 字符"/>
    <w:basedOn w:val="19"/>
    <w:link w:val="12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书目1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character" w:customStyle="1" w:styleId="37">
    <w:name w:val="Section Number"/>
    <w:basedOn w:val="21"/>
    <w:uiPriority w:val="0"/>
  </w:style>
  <w:style w:type="paragraph" w:customStyle="1" w:styleId="38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76092" w:themeColor="accent1" w:themeShade="BF"/>
    </w:rPr>
  </w:style>
  <w:style w:type="character" w:customStyle="1" w:styleId="39">
    <w:name w:val="Keyword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40">
    <w:name w:val="DataTypeTok"/>
    <w:basedOn w:val="35"/>
    <w:uiPriority w:val="0"/>
    <w:rPr>
      <w:rFonts w:ascii="Consolas" w:hAnsi="Consolas"/>
      <w:color w:val="902000"/>
      <w:sz w:val="22"/>
    </w:rPr>
  </w:style>
  <w:style w:type="character" w:customStyle="1" w:styleId="41">
    <w:name w:val="DecVal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2">
    <w:name w:val="BaseNTok"/>
    <w:basedOn w:val="35"/>
    <w:uiPriority w:val="0"/>
    <w:rPr>
      <w:rFonts w:ascii="Consolas" w:hAnsi="Consolas"/>
      <w:color w:val="40A070"/>
      <w:sz w:val="22"/>
    </w:rPr>
  </w:style>
  <w:style w:type="character" w:customStyle="1" w:styleId="43">
    <w:name w:val="Float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4">
    <w:name w:val="ConstantTok"/>
    <w:basedOn w:val="35"/>
    <w:qFormat/>
    <w:uiPriority w:val="0"/>
    <w:rPr>
      <w:rFonts w:ascii="Consolas" w:hAnsi="Consolas"/>
      <w:color w:val="880000"/>
      <w:sz w:val="22"/>
    </w:rPr>
  </w:style>
  <w:style w:type="character" w:customStyle="1" w:styleId="45">
    <w:name w:val="Char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6">
    <w:name w:val="SpecialCharTok"/>
    <w:basedOn w:val="35"/>
    <w:uiPriority w:val="0"/>
    <w:rPr>
      <w:rFonts w:ascii="Consolas" w:hAnsi="Consolas"/>
      <w:color w:val="4070A0"/>
      <w:sz w:val="22"/>
    </w:rPr>
  </w:style>
  <w:style w:type="character" w:customStyle="1" w:styleId="47">
    <w:name w:val="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8">
    <w:name w:val="Verbatim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9">
    <w:name w:val="SpecialStringTok"/>
    <w:basedOn w:val="35"/>
    <w:qFormat/>
    <w:uiPriority w:val="0"/>
    <w:rPr>
      <w:rFonts w:ascii="Consolas" w:hAnsi="Consolas"/>
      <w:color w:val="BB6688"/>
      <w:sz w:val="22"/>
    </w:rPr>
  </w:style>
  <w:style w:type="character" w:customStyle="1" w:styleId="50">
    <w:name w:val="ImportTok"/>
    <w:basedOn w:val="35"/>
    <w:qFormat/>
    <w:uiPriority w:val="0"/>
    <w:rPr>
      <w:rFonts w:ascii="Consolas" w:hAnsi="Consolas"/>
      <w:b/>
      <w:color w:val="008000"/>
      <w:sz w:val="22"/>
    </w:rPr>
  </w:style>
  <w:style w:type="character" w:customStyle="1" w:styleId="51">
    <w:name w:val="CommentTok"/>
    <w:basedOn w:val="35"/>
    <w:qFormat/>
    <w:uiPriority w:val="0"/>
    <w:rPr>
      <w:rFonts w:ascii="Consolas" w:hAnsi="Consolas"/>
      <w:i/>
      <w:color w:val="60A0B0"/>
      <w:sz w:val="22"/>
    </w:rPr>
  </w:style>
  <w:style w:type="character" w:customStyle="1" w:styleId="52">
    <w:name w:val="DocumentationTok"/>
    <w:basedOn w:val="35"/>
    <w:qFormat/>
    <w:uiPriority w:val="0"/>
    <w:rPr>
      <w:rFonts w:ascii="Consolas" w:hAnsi="Consolas"/>
      <w:i/>
      <w:color w:val="BA2121"/>
      <w:sz w:val="22"/>
    </w:rPr>
  </w:style>
  <w:style w:type="character" w:customStyle="1" w:styleId="53">
    <w:name w:val="Annot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4">
    <w:name w:val="CommentVar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5">
    <w:name w:val="OtherTok"/>
    <w:basedOn w:val="35"/>
    <w:uiPriority w:val="0"/>
    <w:rPr>
      <w:rFonts w:ascii="Consolas" w:hAnsi="Consolas"/>
      <w:color w:val="007020"/>
      <w:sz w:val="22"/>
    </w:rPr>
  </w:style>
  <w:style w:type="character" w:customStyle="1" w:styleId="56">
    <w:name w:val="FunctionTok"/>
    <w:basedOn w:val="35"/>
    <w:qFormat/>
    <w:uiPriority w:val="0"/>
    <w:rPr>
      <w:rFonts w:ascii="Consolas" w:hAnsi="Consolas"/>
      <w:color w:val="06287E"/>
      <w:sz w:val="22"/>
    </w:rPr>
  </w:style>
  <w:style w:type="character" w:customStyle="1" w:styleId="57">
    <w:name w:val="VariableTok"/>
    <w:basedOn w:val="35"/>
    <w:uiPriority w:val="0"/>
    <w:rPr>
      <w:rFonts w:ascii="Consolas" w:hAnsi="Consolas"/>
      <w:color w:val="19177C"/>
      <w:sz w:val="22"/>
    </w:rPr>
  </w:style>
  <w:style w:type="character" w:customStyle="1" w:styleId="58">
    <w:name w:val="ControlFlow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59">
    <w:name w:val="OperatorTok"/>
    <w:basedOn w:val="35"/>
    <w:qFormat/>
    <w:uiPriority w:val="0"/>
    <w:rPr>
      <w:rFonts w:ascii="Consolas" w:hAnsi="Consolas"/>
      <w:color w:val="666666"/>
      <w:sz w:val="22"/>
    </w:rPr>
  </w:style>
  <w:style w:type="character" w:customStyle="1" w:styleId="60">
    <w:name w:val="BuiltInTok"/>
    <w:basedOn w:val="35"/>
    <w:qFormat/>
    <w:uiPriority w:val="0"/>
    <w:rPr>
      <w:rFonts w:ascii="Consolas" w:hAnsi="Consolas"/>
      <w:color w:val="008000"/>
      <w:sz w:val="22"/>
    </w:rPr>
  </w:style>
  <w:style w:type="character" w:customStyle="1" w:styleId="61">
    <w:name w:val="ExtensionTok"/>
    <w:basedOn w:val="35"/>
    <w:qFormat/>
    <w:uiPriority w:val="0"/>
    <w:rPr>
      <w:rFonts w:ascii="Consolas" w:hAnsi="Consolas"/>
      <w:sz w:val="22"/>
    </w:rPr>
  </w:style>
  <w:style w:type="character" w:customStyle="1" w:styleId="62">
    <w:name w:val="PreprocessorTok"/>
    <w:basedOn w:val="35"/>
    <w:qFormat/>
    <w:uiPriority w:val="0"/>
    <w:rPr>
      <w:rFonts w:ascii="Consolas" w:hAnsi="Consolas"/>
      <w:color w:val="BC7A00"/>
      <w:sz w:val="22"/>
    </w:rPr>
  </w:style>
  <w:style w:type="character" w:customStyle="1" w:styleId="63">
    <w:name w:val="AttributeTok"/>
    <w:basedOn w:val="35"/>
    <w:uiPriority w:val="0"/>
    <w:rPr>
      <w:rFonts w:ascii="Consolas" w:hAnsi="Consolas"/>
      <w:color w:val="7D9029"/>
      <w:sz w:val="22"/>
    </w:rPr>
  </w:style>
  <w:style w:type="character" w:customStyle="1" w:styleId="64">
    <w:name w:val="RegionMarkerTok"/>
    <w:basedOn w:val="35"/>
    <w:qFormat/>
    <w:uiPriority w:val="0"/>
    <w:rPr>
      <w:rFonts w:ascii="Consolas" w:hAnsi="Consolas"/>
      <w:sz w:val="22"/>
    </w:rPr>
  </w:style>
  <w:style w:type="character" w:customStyle="1" w:styleId="65">
    <w:name w:val="Inform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6">
    <w:name w:val="Warning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7">
    <w:name w:val="AlertTok"/>
    <w:basedOn w:val="35"/>
    <w:qFormat/>
    <w:uiPriority w:val="0"/>
    <w:rPr>
      <w:rFonts w:ascii="Consolas" w:hAnsi="Consolas"/>
      <w:b/>
      <w:color w:val="FF0000"/>
      <w:sz w:val="22"/>
    </w:rPr>
  </w:style>
  <w:style w:type="character" w:customStyle="1" w:styleId="68">
    <w:name w:val="ErrorTok"/>
    <w:basedOn w:val="35"/>
    <w:qFormat/>
    <w:uiPriority w:val="0"/>
    <w:rPr>
      <w:rFonts w:ascii="Consolas" w:hAnsi="Consolas"/>
      <w:b/>
      <w:color w:val="FF0000"/>
      <w:sz w:val="22"/>
    </w:rPr>
  </w:style>
  <w:style w:type="character" w:customStyle="1" w:styleId="69">
    <w:name w:val="NormalTok"/>
    <w:basedOn w:val="35"/>
    <w:qFormat/>
    <w:uiPriority w:val="0"/>
    <w:rPr>
      <w:rFonts w:ascii="Consolas" w:hAnsi="Consolas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1525</Words>
  <Characters>1535</Characters>
  <Lines>9</Lines>
  <Paragraphs>2</Paragraphs>
  <TotalTime>0</TotalTime>
  <ScaleCrop>false</ScaleCrop>
  <LinksUpToDate>false</LinksUpToDate>
  <CharactersWithSpaces>1535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2025-01-23T00:15:00Z</dcterms:created>
  <dc:creator>旧时歌谣</dc:creator>
  <cp:lastModifiedBy>张军</cp:lastModifiedBy>
  <dcterms:modified xsi:type="dcterms:W3CDTF">2025-01-28T12:33:57Z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eyJoZGlkIjoiYmIxZjRjNmJlZjNhMmIwYTNkNTBjZWU4Njk4YTBkYWIiLCJ1c2VySWQiOiIyNTgxOTczNDcifQ==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CD3B4153B059447785E65860FB714056_12</vt:lpwstr>
  </property>
</Properties>
</file>