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E0CFE">
      <w:pPr>
        <w:pStyle w:val="5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一设备基本信息"/>
      <w:r>
        <w:rPr>
          <w:rFonts w:hint="eastAsia" w:ascii="宋体" w:hAnsi="宋体" w:eastAsia="宋体" w:cs="宋体"/>
          <w:b/>
          <w:bCs/>
          <w:sz w:val="32"/>
          <w:szCs w:val="32"/>
        </w:rPr>
        <w:t>X线计算机断层扫描仪维保服务</w:t>
      </w:r>
    </w:p>
    <w:p w14:paraId="792D2C60">
      <w:pPr>
        <w:pStyle w:val="3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需求</w:t>
      </w:r>
    </w:p>
    <w:p w14:paraId="76B5BDEF">
      <w:pPr>
        <w:pStyle w:val="5"/>
      </w:pPr>
      <w:r>
        <w:t>一、设备基本信息</w:t>
      </w:r>
    </w:p>
    <w:p w14:paraId="45F14D1E">
      <w:pPr>
        <w:pStyle w:val="24"/>
        <w:numPr>
          <w:ilvl w:val="0"/>
          <w:numId w:val="1"/>
        </w:numPr>
      </w:pPr>
      <w:r>
        <w:rPr>
          <w:b/>
          <w:bCs/>
        </w:rPr>
        <w:t>设备名称</w:t>
      </w:r>
      <w:r>
        <w:t>：</w:t>
      </w:r>
      <w:r>
        <w:rPr>
          <w:rFonts w:hint="eastAsia"/>
          <w:lang w:val="en-US" w:eastAsia="zh-CN"/>
        </w:rPr>
        <w:t>西门子多层螺旋</w:t>
      </w:r>
      <w:r>
        <w:t>32排CT扫描仪</w:t>
      </w:r>
    </w:p>
    <w:p w14:paraId="3D5D7A6D">
      <w:pPr>
        <w:pStyle w:val="24"/>
        <w:numPr>
          <w:ilvl w:val="0"/>
          <w:numId w:val="1"/>
        </w:numPr>
      </w:pPr>
      <w:r>
        <w:rPr>
          <w:b/>
          <w:bCs/>
        </w:rPr>
        <w:t>设备型号</w:t>
      </w:r>
      <w:r>
        <w:t>：</w:t>
      </w:r>
      <w:r>
        <w:rPr>
          <w:rFonts w:hint="eastAsia"/>
          <w:lang w:val="en-US" w:eastAsia="zh-CN"/>
        </w:rPr>
        <w:t>SOMATOMgo.up</w:t>
      </w:r>
    </w:p>
    <w:p w14:paraId="18B803B2">
      <w:pPr>
        <w:pStyle w:val="24"/>
        <w:numPr>
          <w:ilvl w:val="0"/>
          <w:numId w:val="1"/>
        </w:numPr>
      </w:pPr>
      <w:r>
        <w:rPr>
          <w:b/>
          <w:bCs/>
        </w:rPr>
        <w:t>设备序列号</w:t>
      </w:r>
      <w:r>
        <w:t>：</w:t>
      </w:r>
      <w:r>
        <w:rPr>
          <w:rFonts w:hint="eastAsia"/>
          <w:lang w:val="en-US" w:eastAsia="zh-CN"/>
        </w:rPr>
        <w:t>108560</w:t>
      </w:r>
    </w:p>
    <w:p w14:paraId="303A47AC">
      <w:pPr>
        <w:pStyle w:val="24"/>
        <w:numPr>
          <w:ilvl w:val="0"/>
          <w:numId w:val="1"/>
        </w:numPr>
      </w:pPr>
      <w:r>
        <w:rPr>
          <w:b/>
          <w:bCs/>
        </w:rPr>
        <w:t>设备购置时间</w:t>
      </w:r>
      <w:r>
        <w:t>：</w:t>
      </w:r>
      <w:r>
        <w:rPr>
          <w:rFonts w:hint="eastAsia"/>
          <w:lang w:val="en-US" w:eastAsia="zh-CN"/>
        </w:rPr>
        <w:t>2021</w:t>
      </w:r>
      <w:r>
        <w:t>年</w:t>
      </w:r>
      <w:r>
        <w:rPr>
          <w:rFonts w:hint="eastAsia"/>
          <w:lang w:val="en-US" w:eastAsia="zh-CN"/>
        </w:rPr>
        <w:t>3</w:t>
      </w:r>
      <w:r>
        <w:t>月</w:t>
      </w:r>
      <w:r>
        <w:rPr>
          <w:rFonts w:hint="eastAsia"/>
          <w:lang w:val="en-US" w:eastAsia="zh-CN"/>
        </w:rPr>
        <w:t>20</w:t>
      </w:r>
      <w:r>
        <w:t>日</w:t>
      </w:r>
    </w:p>
    <w:p w14:paraId="312AF8BB">
      <w:pPr>
        <w:pStyle w:val="24"/>
        <w:numPr>
          <w:ilvl w:val="0"/>
          <w:numId w:val="1"/>
        </w:numPr>
      </w:pPr>
      <w:r>
        <w:rPr>
          <w:b/>
          <w:bCs/>
        </w:rPr>
        <w:t>安装地点</w:t>
      </w:r>
      <w:r>
        <w:t>：</w:t>
      </w:r>
      <w:r>
        <w:rPr>
          <w:rFonts w:hint="eastAsia"/>
          <w:lang w:val="en-US" w:eastAsia="zh-CN"/>
        </w:rPr>
        <w:t>公卫楼体检中心1楼</w:t>
      </w:r>
    </w:p>
    <w:bookmarkEnd w:id="0"/>
    <w:p w14:paraId="34AD36F2">
      <w:pPr>
        <w:pStyle w:val="5"/>
      </w:pPr>
      <w:bookmarkStart w:id="1" w:name="二维保服务总体目标"/>
      <w:r>
        <w:t>二、维保服务总体目标</w:t>
      </w:r>
    </w:p>
    <w:p w14:paraId="49240B7E"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</w:pPr>
      <w:r>
        <w:t>确保32排CT设备在合同期内始终保持良好的运行状态，达到或接近原厂规定的性能指标，保障临床诊断工作的顺利开展，同时尽量减少设备停机时间，提高设备的开机率和利用率。</w:t>
      </w:r>
    </w:p>
    <w:bookmarkEnd w:id="1"/>
    <w:p w14:paraId="369D89F9">
      <w:pPr>
        <w:pStyle w:val="5"/>
      </w:pPr>
      <w:bookmarkStart w:id="2" w:name="三维保服务具体范围及要求"/>
      <w:r>
        <w:t>三、维保服务具体范围及要求</w:t>
      </w:r>
    </w:p>
    <w:p w14:paraId="2AB3C60C">
      <w:pPr>
        <w:pStyle w:val="6"/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</w:pPr>
      <w:bookmarkStart w:id="3" w:name="一硬件维护"/>
      <w:r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  <w:t>（一）硬件维护</w:t>
      </w:r>
    </w:p>
    <w:p w14:paraId="098419DA">
      <w:pPr>
        <w:pStyle w:val="24"/>
        <w:numPr>
          <w:ilvl w:val="0"/>
          <w:numId w:val="2"/>
        </w:numPr>
      </w:pPr>
      <w:r>
        <w:rPr>
          <w:b/>
          <w:bCs/>
        </w:rPr>
        <w:t>定期巡检</w:t>
      </w:r>
    </w:p>
    <w:p w14:paraId="7542CF94">
      <w:pPr>
        <w:pStyle w:val="24"/>
        <w:numPr>
          <w:ilvl w:val="1"/>
          <w:numId w:val="1"/>
        </w:numPr>
      </w:pPr>
      <w:r>
        <w:t>每月至少进行一次全面的设备硬件巡检，包括但不限于扫描架、探测器、球管、高压发生器、准直器、数据采集系统（DAS）、冷却系统（水冷或风冷）、控制台、显示器、打印机及电气系统等部件。</w:t>
      </w:r>
    </w:p>
    <w:p w14:paraId="4E5BAF58">
      <w:pPr>
        <w:pStyle w:val="24"/>
        <w:numPr>
          <w:ilvl w:val="1"/>
          <w:numId w:val="1"/>
        </w:numPr>
      </w:pPr>
      <w:r>
        <w:t>巡检内容涵盖外观检查（有无损坏、变形、腐蚀等）、连接部位检查（确保各线缆、接头连接牢固）、运行参数监测（如温度、压力、电压、电流等在正常范围内）。</w:t>
      </w:r>
    </w:p>
    <w:p w14:paraId="0C529414">
      <w:pPr>
        <w:pStyle w:val="24"/>
        <w:numPr>
          <w:ilvl w:val="1"/>
          <w:numId w:val="1"/>
        </w:numPr>
      </w:pPr>
      <w:r>
        <w:t>每次巡检后需提供详细的巡检报告，记录发现的问题（如有）及设备各部件的运行状态。</w:t>
      </w:r>
    </w:p>
    <w:p w14:paraId="0743C76B">
      <w:pPr>
        <w:pStyle w:val="24"/>
        <w:numPr>
          <w:ilvl w:val="0"/>
          <w:numId w:val="2"/>
        </w:numPr>
      </w:pPr>
      <w:r>
        <w:rPr>
          <w:b/>
          <w:bCs/>
        </w:rPr>
        <w:t>清洁保养</w:t>
      </w:r>
    </w:p>
    <w:p w14:paraId="7FF6DA49">
      <w:pPr>
        <w:pStyle w:val="24"/>
        <w:numPr>
          <w:ilvl w:val="1"/>
          <w:numId w:val="1"/>
        </w:numPr>
      </w:pPr>
      <w:r>
        <w:t>每季度对设备进行一次深度清洁，重点清洁扫描架内部、探测器表面、球管散热器等容易积尘部位，采用专业清洁工具和材料，确保清洁过程不会对设备造成损坏。</w:t>
      </w:r>
    </w:p>
    <w:p w14:paraId="687C3BAF">
      <w:pPr>
        <w:pStyle w:val="24"/>
        <w:numPr>
          <w:ilvl w:val="1"/>
          <w:numId w:val="1"/>
        </w:numPr>
      </w:pPr>
      <w:r>
        <w:t>定期清理控制台、显示器、打印机等周边设备表面及内部灰尘，保持良好的散热和外观整洁。</w:t>
      </w:r>
    </w:p>
    <w:p w14:paraId="582FF7A9">
      <w:pPr>
        <w:pStyle w:val="24"/>
        <w:numPr>
          <w:ilvl w:val="0"/>
          <w:numId w:val="2"/>
        </w:numPr>
      </w:pPr>
      <w:r>
        <w:rPr>
          <w:b/>
          <w:bCs/>
        </w:rPr>
        <w:t>部件校准与调整</w:t>
      </w:r>
    </w:p>
    <w:p w14:paraId="04BAD2A5">
      <w:pPr>
        <w:pStyle w:val="24"/>
        <w:numPr>
          <w:ilvl w:val="1"/>
          <w:numId w:val="1"/>
        </w:numPr>
      </w:pPr>
      <w:r>
        <w:t>根据设备运行时间和使用情况，每半年进行一次全面的部件校准，包括球管焦点校准、探测器校准、准直器校准、DAS校准等，确保各部件协同工作，输出准确的图像数据。</w:t>
      </w:r>
    </w:p>
    <w:p w14:paraId="2E6A1399">
      <w:pPr>
        <w:pStyle w:val="24"/>
        <w:numPr>
          <w:ilvl w:val="1"/>
          <w:numId w:val="1"/>
        </w:numPr>
      </w:pPr>
      <w:r>
        <w:t>在设备维修或更换关键部件（如球管、探测器等）后，必须立即进行相应部件的重新校准与调整，以保证图像质量不受影响。</w:t>
      </w:r>
    </w:p>
    <w:p w14:paraId="6A1BD1F4">
      <w:pPr>
        <w:pStyle w:val="24"/>
        <w:numPr>
          <w:ilvl w:val="0"/>
          <w:numId w:val="2"/>
        </w:numPr>
      </w:pPr>
      <w:r>
        <w:rPr>
          <w:b/>
          <w:bCs/>
        </w:rPr>
        <w:t>故障维修</w:t>
      </w:r>
    </w:p>
    <w:p w14:paraId="59BA452F">
      <w:pPr>
        <w:pStyle w:val="24"/>
        <w:numPr>
          <w:ilvl w:val="1"/>
          <w:numId w:val="1"/>
        </w:numPr>
      </w:pPr>
      <w:r>
        <w:t>针对设备硬件出现的任何故障，无论故障大小，维保服务提供商应在接到报修通知后立即响应。</w:t>
      </w:r>
    </w:p>
    <w:p w14:paraId="39289109">
      <w:pPr>
        <w:pStyle w:val="24"/>
        <w:numPr>
          <w:ilvl w:val="1"/>
          <w:numId w:val="1"/>
        </w:numPr>
      </w:pPr>
      <w:r>
        <w:t>对于一般性故障（如线缆松动、小部件损坏等），维修工程师应在[具体时长，如市内2小时内、市外4小时内]到达现场进行维修，并在[规定维修时长，如4小时内]完成维修，恢复设备正常运行。</w:t>
      </w:r>
    </w:p>
    <w:p w14:paraId="023A432C">
      <w:pPr>
        <w:pStyle w:val="24"/>
        <w:numPr>
          <w:ilvl w:val="1"/>
          <w:numId w:val="1"/>
        </w:numPr>
      </w:pPr>
      <w:r>
        <w:t>对于重大故障（如球管爆裂、探测器大面积损坏等），应在接到报修后[规定响应时长，如1小时内]与用户取得联系，说明预计到达现场时间，并在尽可能短的时间内调配资源到达现场，优先采取临时措施保障设备基本功能（如切换到备用模式等），随后进行彻底维修，总停机时间应控制在[具体时长，如24小时内]（特殊情况除外）。</w:t>
      </w:r>
    </w:p>
    <w:p w14:paraId="1C9AE4CA">
      <w:pPr>
        <w:pStyle w:val="24"/>
        <w:numPr>
          <w:ilvl w:val="1"/>
          <w:numId w:val="1"/>
        </w:numPr>
      </w:pPr>
      <w:r>
        <w:t>维修过程中需详细记录故障原因、维修措施、更换的部件（如有）及维修后的测试情况等，并提供完整的维修报告。</w:t>
      </w:r>
    </w:p>
    <w:bookmarkEnd w:id="3"/>
    <w:p w14:paraId="00D4E476">
      <w:pPr>
        <w:pStyle w:val="6"/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</w:pPr>
      <w:bookmarkStart w:id="4" w:name="二软件维护"/>
      <w:r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  <w:t>（二）软件维护</w:t>
      </w:r>
    </w:p>
    <w:p w14:paraId="44C33D6B">
      <w:pPr>
        <w:pStyle w:val="24"/>
        <w:numPr>
          <w:ilvl w:val="0"/>
          <w:numId w:val="3"/>
        </w:numPr>
      </w:pPr>
      <w:r>
        <w:rPr>
          <w:b/>
          <w:bCs/>
        </w:rPr>
        <w:t>软件更新与升级</w:t>
      </w:r>
    </w:p>
    <w:p w14:paraId="3822FE62">
      <w:pPr>
        <w:pStyle w:val="24"/>
        <w:numPr>
          <w:ilvl w:val="1"/>
          <w:numId w:val="1"/>
        </w:numPr>
      </w:pPr>
      <w:r>
        <w:t>及时关注设备制造商发布的软件更新信息，确保在新软件版本发布后[规定时长，如1个月内]将CT设备的操作系统、扫描控制软件、图像重建软件等相关软件进行更新升级，以获取最新功能、修复软件漏洞和提升性能。</w:t>
      </w:r>
    </w:p>
    <w:p w14:paraId="5960E67D">
      <w:pPr>
        <w:pStyle w:val="24"/>
        <w:numPr>
          <w:ilvl w:val="1"/>
          <w:numId w:val="1"/>
        </w:numPr>
      </w:pPr>
      <w:r>
        <w:t>在软件更新升级前，应提前与医院相关部门沟通协调，选择合适的时间进行操作，避免影响临床正常使用。同时，要对更新升级过程进行详细记录，包括更新的软件版本、更新时间、更新前后设备的运行状态等。</w:t>
      </w:r>
    </w:p>
    <w:p w14:paraId="58E3C9E1">
      <w:pPr>
        <w:pStyle w:val="24"/>
        <w:numPr>
          <w:ilvl w:val="0"/>
          <w:numId w:val="3"/>
        </w:numPr>
      </w:pPr>
      <w:r>
        <w:rPr>
          <w:b/>
          <w:bCs/>
        </w:rPr>
        <w:t>软件故障排除</w:t>
      </w:r>
    </w:p>
    <w:p w14:paraId="7C76E486">
      <w:pPr>
        <w:pStyle w:val="24"/>
        <w:numPr>
          <w:ilvl w:val="1"/>
          <w:numId w:val="1"/>
        </w:numPr>
      </w:pPr>
      <w:r>
        <w:t>当设备软件出现故障报错、运行不稳定等情况时，维保服务提供商应立即响应，通过远程协助或现场调试等方式进行故障排除。</w:t>
      </w:r>
    </w:p>
    <w:p w14:paraId="25CDDB1B">
      <w:pPr>
        <w:pStyle w:val="24"/>
        <w:numPr>
          <w:ilvl w:val="1"/>
          <w:numId w:val="1"/>
        </w:numPr>
      </w:pPr>
      <w:r>
        <w:t>对于软件参数设置不当等常见问题，应在[具体时长，如1小时内]通过远程协助解决；对于较为复杂的软件故障，维修工程师应在接到报修后[规定时长，如市内2小时内、市外4小时内]到达现场进行调试，确保软件恢复正常运行。</w:t>
      </w:r>
    </w:p>
    <w:p w14:paraId="18B558DD">
      <w:pPr>
        <w:pStyle w:val="24"/>
        <w:numPr>
          <w:ilvl w:val="1"/>
          <w:numId w:val="1"/>
        </w:numPr>
      </w:pPr>
      <w:r>
        <w:t>在软件故障排除过程中，要记录故障原因、解决措施及设备恢复后的运行状态等信息，并提供相应的报告。</w:t>
      </w:r>
    </w:p>
    <w:bookmarkEnd w:id="4"/>
    <w:p w14:paraId="61A1A9AF">
      <w:pPr>
        <w:pStyle w:val="6"/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</w:pPr>
      <w:bookmarkStart w:id="5" w:name="三图像质量保障"/>
      <w:r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  <w:t>（三）图像质量保障</w:t>
      </w:r>
    </w:p>
    <w:p w14:paraId="0677D54F">
      <w:pPr>
        <w:pStyle w:val="24"/>
        <w:numPr>
          <w:ilvl w:val="0"/>
          <w:numId w:val="4"/>
        </w:numPr>
      </w:pPr>
      <w:r>
        <w:rPr>
          <w:b/>
          <w:bCs/>
        </w:rPr>
        <w:t>日常监测与调整</w:t>
      </w:r>
    </w:p>
    <w:p w14:paraId="1EAE3FA5">
      <w:pPr>
        <w:pStyle w:val="24"/>
        <w:numPr>
          <w:ilvl w:val="1"/>
          <w:numId w:val="1"/>
        </w:numPr>
      </w:pPr>
      <w:r>
        <w:t>每天开机前，应对CT图像质量进行快速检查，主要检查图像的分辨率、对比度、噪声水平等基本指标是否正常，若发现异常应及时进行排查和调整。</w:t>
      </w:r>
    </w:p>
    <w:p w14:paraId="3462F771">
      <w:pPr>
        <w:pStyle w:val="24"/>
        <w:numPr>
          <w:ilvl w:val="1"/>
          <w:numId w:val="1"/>
        </w:numPr>
      </w:pPr>
      <w:r>
        <w:t>每周至少进行一次正式的图像质量评估，采用标准测试模体（如水模、空气模等）进行测试，根据测试结果对设备的相关参数进行调整，确保图像质量始终符合临床诊断要求。</w:t>
      </w:r>
    </w:p>
    <w:p w14:paraId="4805CDB8">
      <w:pPr>
        <w:pStyle w:val="24"/>
        <w:numPr>
          <w:ilvl w:val="0"/>
          <w:numId w:val="4"/>
        </w:numPr>
      </w:pPr>
      <w:r>
        <w:rPr>
          <w:b/>
          <w:bCs/>
        </w:rPr>
        <w:t>故障影响处理</w:t>
      </w:r>
    </w:p>
    <w:p w14:paraId="655882F8">
      <w:pPr>
        <w:pStyle w:val="24"/>
        <w:numPr>
          <w:ilvl w:val="1"/>
          <w:numId w:val="1"/>
        </w:numPr>
      </w:pPr>
      <w:r>
        <w:t>当设备出现硬件或软件故障导致图像质量下降时，维保服务提供商应在维修设备的同时，着重关注图像质量的恢复情况，采取必要的措施（如重新校准部件、调整软件参数等）确保图像质量在设备修复后立即恢复到正常水平。</w:t>
      </w:r>
    </w:p>
    <w:p w14:paraId="0729E594">
      <w:pPr>
        <w:pStyle w:val="24"/>
        <w:numPr>
          <w:ilvl w:val="1"/>
          <w:numId w:val="1"/>
        </w:numPr>
      </w:pPr>
      <w:r>
        <w:t>对于因临床操作不当等原因导致的图像质量问题，维保服务提供商应提供技术指导和建议，帮助临床工作人员正确操作设备，提高图像质量。</w:t>
      </w:r>
    </w:p>
    <w:bookmarkEnd w:id="5"/>
    <w:p w14:paraId="08DC4859">
      <w:pPr>
        <w:pStyle w:val="6"/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</w:pPr>
      <w:bookmarkStart w:id="6" w:name="四备件供应"/>
      <w:r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  <w:t>（四）备件供应</w:t>
      </w:r>
    </w:p>
    <w:p w14:paraId="7306424A">
      <w:pPr>
        <w:pStyle w:val="24"/>
        <w:numPr>
          <w:ilvl w:val="0"/>
          <w:numId w:val="5"/>
        </w:numPr>
      </w:pPr>
      <w:r>
        <w:rPr>
          <w:b/>
          <w:bCs/>
        </w:rPr>
        <w:t>库存管理</w:t>
      </w:r>
    </w:p>
    <w:p w14:paraId="4E08A103">
      <w:pPr>
        <w:pStyle w:val="24"/>
        <w:numPr>
          <w:ilvl w:val="1"/>
          <w:numId w:val="1"/>
        </w:numPr>
      </w:pPr>
      <w:r>
        <w:t>维保服务提供商应建立完善的备件库存体系，针对32排CT设备的常见故障部件（如球管、探测器模块、各种电路板、线缆等）应保持一定数量的库存，确保在设备出现故障需要更换部件时，能够迅速提供所需备件。</w:t>
      </w:r>
    </w:p>
    <w:p w14:paraId="65EB7A78">
      <w:pPr>
        <w:pStyle w:val="24"/>
        <w:numPr>
          <w:ilvl w:val="1"/>
          <w:numId w:val="1"/>
        </w:numPr>
      </w:pPr>
      <w:r>
        <w:t>定期对备件库存进行盘点和更新，确保备件的质量和可用性，同时要记录备件的出入库情况，便于管理和查询。</w:t>
      </w:r>
    </w:p>
    <w:p w14:paraId="537C488F">
      <w:pPr>
        <w:pStyle w:val="24"/>
        <w:numPr>
          <w:ilvl w:val="0"/>
          <w:numId w:val="5"/>
        </w:numPr>
      </w:pPr>
      <w:r>
        <w:rPr>
          <w:b/>
          <w:bCs/>
        </w:rPr>
        <w:t>备件质量</w:t>
      </w:r>
    </w:p>
    <w:p w14:paraId="62C9B3AA">
      <w:pPr>
        <w:pStyle w:val="24"/>
        <w:numPr>
          <w:ilvl w:val="1"/>
          <w:numId w:val="1"/>
        </w:numPr>
      </w:pPr>
      <w:r>
        <w:t>所提供的备件必须为原厂正品或经原厂认证的高质量替代品，保证备件的兼容性、性能及质量与原设备匹配，确保更换备件后设备能够正常运行，且图像质量不受影响。</w:t>
      </w:r>
    </w:p>
    <w:p w14:paraId="047E4B2A">
      <w:pPr>
        <w:pStyle w:val="24"/>
        <w:numPr>
          <w:ilvl w:val="1"/>
          <w:numId w:val="1"/>
        </w:numPr>
      </w:pPr>
      <w:r>
        <w:t>在更换备件后，应按照原厂标准对相关部件进行调试和校准，以保证设备整体性能的一致性。</w:t>
      </w:r>
    </w:p>
    <w:bookmarkEnd w:id="6"/>
    <w:p w14:paraId="0F46ABE2">
      <w:pPr>
        <w:pStyle w:val="6"/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</w:pPr>
      <w:bookmarkStart w:id="7" w:name="五培训服务"/>
      <w:r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  <w:t>（五）培训服务</w:t>
      </w:r>
    </w:p>
    <w:p w14:paraId="648AF13D">
      <w:pPr>
        <w:pStyle w:val="24"/>
        <w:numPr>
          <w:ilvl w:val="0"/>
          <w:numId w:val="6"/>
        </w:numPr>
      </w:pPr>
      <w:r>
        <w:rPr>
          <w:b/>
          <w:bCs/>
        </w:rPr>
        <w:t>操作培训</w:t>
      </w:r>
    </w:p>
    <w:p w14:paraId="496F66AA">
      <w:pPr>
        <w:pStyle w:val="24"/>
        <w:numPr>
          <w:ilvl w:val="1"/>
          <w:numId w:val="1"/>
        </w:numPr>
      </w:pPr>
      <w:r>
        <w:t>为新入职的临床工作人员提供设备操作培训，培训内容包括设备的基本操作流程、扫描参数设置、图像查看与处理等，确保新员工能够熟练操作设备进行临床诊断。</w:t>
      </w:r>
    </w:p>
    <w:p w14:paraId="712C24FE">
      <w:pPr>
        <w:pStyle w:val="24"/>
        <w:numPr>
          <w:ilvl w:val="1"/>
          <w:numId w:val="1"/>
        </w:numPr>
      </w:pPr>
      <w:r>
        <w:t>培训方式可采用现场教学、视频教程、操作手册等多种形式相结合，培训时间根据实际情况安排，一般不少于[具体时长，如2小时]。</w:t>
      </w:r>
    </w:p>
    <w:p w14:paraId="7DC7DDAE">
      <w:pPr>
        <w:pStyle w:val="24"/>
        <w:numPr>
          <w:ilvl w:val="1"/>
          <w:numId w:val="1"/>
        </w:numPr>
      </w:pPr>
      <w:r>
        <w:t>每次培训后应进行考核，考核合格者方可独立操作设备，同时要提供培训记录和考核结果给医院相关部门。</w:t>
      </w:r>
    </w:p>
    <w:p w14:paraId="3DBCEB53">
      <w:pPr>
        <w:pStyle w:val="24"/>
        <w:numPr>
          <w:ilvl w:val="0"/>
          <w:numId w:val="6"/>
        </w:numPr>
      </w:pPr>
      <w:r>
        <w:rPr>
          <w:b/>
          <w:bCs/>
        </w:rPr>
        <w:t>维护培训</w:t>
      </w:r>
    </w:p>
    <w:p w14:paraId="50FFB129">
      <w:pPr>
        <w:pStyle w:val="24"/>
        <w:numPr>
          <w:ilvl w:val="1"/>
          <w:numId w:val="1"/>
        </w:numPr>
      </w:pPr>
      <w:r>
        <w:t>为医院的设备维护人员提供设备维护培训，培训内容包括设备的日常维护注意事项、常见故障的排查与处理、部件的校准与调整等，提高医院维护人员的自主维护能力。</w:t>
      </w:r>
    </w:p>
    <w:p w14:paraId="1D33EFA8">
      <w:pPr>
        <w:pStyle w:val="24"/>
        <w:numPr>
          <w:ilvl w:val="1"/>
          <w:numId w:val="1"/>
        </w:numPr>
      </w:pPr>
      <w:r>
        <w:t>培训方式可采用现场教学、视频教程、操作手册等多种形式相结合，培训时间根据实际情况安排，一般不少于[具体时长，如4小时]。</w:t>
      </w:r>
    </w:p>
    <w:p w14:paraId="07B5C439">
      <w:pPr>
        <w:pStyle w:val="24"/>
        <w:numPr>
          <w:ilvl w:val="1"/>
          <w:numId w:val="1"/>
        </w:numPr>
      </w:pPr>
      <w:r>
        <w:t>每次培训后应进行考核，考核合格者方可独立参与设备维护工作，同时要提供培训记录和考核结果给医院相关部门。</w:t>
      </w:r>
    </w:p>
    <w:bookmarkEnd w:id="7"/>
    <w:p w14:paraId="545F6ABB">
      <w:pPr>
        <w:pStyle w:val="6"/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</w:pPr>
      <w:bookmarkStart w:id="8" w:name="六文档与记录管理"/>
      <w:r>
        <w:rPr>
          <w:rFonts w:asciiTheme="minorHAnsi" w:hAnsiTheme="minorHAnsi" w:eastAsiaTheme="minorEastAsia" w:cstheme="minorBidi"/>
          <w:b/>
          <w:bCs/>
          <w:i w:val="0"/>
          <w:sz w:val="24"/>
          <w:szCs w:val="24"/>
          <w:lang w:val="en-US" w:eastAsia="en-US" w:bidi="ar-SA"/>
        </w:rPr>
        <w:t>（六）文档与记录管理</w:t>
      </w:r>
    </w:p>
    <w:p w14:paraId="792ADDFB">
      <w:pPr>
        <w:pStyle w:val="24"/>
        <w:numPr>
          <w:ilvl w:val="0"/>
          <w:numId w:val="7"/>
        </w:numPr>
      </w:pPr>
      <w:r>
        <w:rPr>
          <w:b/>
          <w:bCs/>
        </w:rPr>
        <w:t>维保档案建立</w:t>
      </w:r>
    </w:p>
    <w:p w14:paraId="79CC7A67">
      <w:pPr>
        <w:pStyle w:val="24"/>
        <w:numPr>
          <w:ilvl w:val="1"/>
          <w:numId w:val="1"/>
        </w:numPr>
      </w:pPr>
      <w:r>
        <w:t>维保服务提供商应建立完整的32排CT维保档案，记录设备从购置到当前的所有与维保相关的信息，包括设备基本信息、每次巡检报告、清洁保养记录、部件校准与调整记录、维修报告、软件更新升级记录、图像质量评估记录、备件出入库记录、培训记录等。</w:t>
      </w:r>
    </w:p>
    <w:p w14:paraId="418B64B1">
      <w:pPr>
        <w:pStyle w:val="24"/>
        <w:numPr>
          <w:ilvl w:val="1"/>
          <w:numId w:val="1"/>
        </w:numPr>
      </w:pPr>
      <w:r>
        <w:t>档案应按照时间顺序排列，便于查询和追溯。</w:t>
      </w:r>
    </w:p>
    <w:p w14:paraId="7FD91436">
      <w:pPr>
        <w:pStyle w:val="24"/>
        <w:numPr>
          <w:ilvl w:val="0"/>
          <w:numId w:val="7"/>
        </w:numPr>
      </w:pPr>
      <w:r>
        <w:rPr>
          <w:b/>
          <w:bCs/>
        </w:rPr>
        <w:t>记录规范</w:t>
      </w:r>
    </w:p>
    <w:p w14:paraId="2811694A">
      <w:pPr>
        <w:pStyle w:val="24"/>
        <w:numPr>
          <w:ilvl w:val="1"/>
          <w:numId w:val="1"/>
        </w:numPr>
      </w:pPr>
      <w:r>
        <w:t>所有的维保记录和报告应采用规范的格式书写，内容应包括日期、时间、事件描述、处理措施、结果等基本要素，确保记录清晰、准确地反映设备的运行状况和维保服务的实施情况。</w:t>
      </w:r>
    </w:p>
    <w:p w14:paraId="6D9A27D6">
      <w:pPr>
        <w:pStyle w:val="24"/>
        <w:numPr>
          <w:ilvl w:val="0"/>
          <w:numId w:val="7"/>
        </w:numPr>
      </w:pPr>
      <w:r>
        <w:rPr>
          <w:b/>
          <w:bCs/>
        </w:rPr>
        <w:t>档案保存</w:t>
      </w:r>
    </w:p>
    <w:p w14:paraId="191C400B">
      <w:pPr>
        <w:pStyle w:val="24"/>
        <w:numPr>
          <w:ilvl w:val="1"/>
          <w:numId w:val="1"/>
        </w:numPr>
      </w:pPr>
      <w:r>
        <w:t>按照相关法规和医院的要求，妥善保存维保档案，保存期限不少于5年，以便于审计、查询和追溯。</w:t>
      </w:r>
    </w:p>
    <w:bookmarkEnd w:id="2"/>
    <w:bookmarkEnd w:id="8"/>
    <w:p w14:paraId="4AF56C12">
      <w:pPr>
        <w:pStyle w:val="5"/>
      </w:pPr>
      <w:bookmarkStart w:id="9" w:name="四服务期限与费用"/>
      <w:r>
        <w:t>四、服务期限与费用</w:t>
      </w:r>
    </w:p>
    <w:p w14:paraId="31198165">
      <w:pPr>
        <w:pStyle w:val="24"/>
        <w:numPr>
          <w:ilvl w:val="0"/>
          <w:numId w:val="8"/>
        </w:numPr>
      </w:pPr>
      <w:r>
        <w:rPr>
          <w:b/>
          <w:bCs/>
        </w:rPr>
        <w:t>服务期限</w:t>
      </w:r>
      <w:r>
        <w:t>：本次维保服务合同期限为</w:t>
      </w:r>
      <w:r>
        <w:rPr>
          <w:rFonts w:hint="eastAsia"/>
          <w:lang w:val="en-US" w:eastAsia="zh-CN"/>
        </w:rPr>
        <w:t>2025年</w:t>
      </w:r>
      <w:r>
        <w:t>-</w:t>
      </w:r>
      <w:r>
        <w:rPr>
          <w:rFonts w:hint="eastAsia"/>
          <w:lang w:val="en-US" w:eastAsia="zh-CN"/>
        </w:rPr>
        <w:t>2028年</w:t>
      </w:r>
      <w:r>
        <w:t>，</w:t>
      </w:r>
      <w:r>
        <w:rPr>
          <w:rFonts w:hint="eastAsia"/>
          <w:lang w:val="en-US" w:eastAsia="zh-CN"/>
        </w:rPr>
        <w:t>一年一签，</w:t>
      </w:r>
      <w:r>
        <w:t>合同期满后，双方可根据实际情况协商续签事宜。</w:t>
      </w:r>
    </w:p>
    <w:p w14:paraId="2E6ACA2E">
      <w:pPr>
        <w:pStyle w:val="24"/>
        <w:numPr>
          <w:ilvl w:val="0"/>
          <w:numId w:val="8"/>
        </w:numPr>
      </w:pPr>
      <w:r>
        <w:rPr>
          <w:b/>
          <w:bCs/>
        </w:rPr>
        <w:t>费用结构</w:t>
      </w:r>
      <w:r>
        <w:t>：</w:t>
      </w:r>
      <w:r>
        <w:rPr>
          <w:rFonts w:hint="eastAsia"/>
          <w:lang w:val="en-US" w:eastAsia="zh-CN"/>
        </w:rPr>
        <w:t>维保服务费在合同签订后每半年拨付一次。</w:t>
      </w:r>
    </w:p>
    <w:p w14:paraId="7513B617">
      <w:pPr>
        <w:pStyle w:val="24"/>
        <w:numPr>
          <w:numId w:val="0"/>
        </w:numPr>
        <w:spacing w:before="36" w:after="36"/>
        <w:rPr>
          <w:rFonts w:hint="eastAsia"/>
          <w:lang w:val="en-US" w:eastAsia="zh-CN"/>
        </w:rPr>
      </w:pPr>
    </w:p>
    <w:p w14:paraId="3919F6C6">
      <w:pPr>
        <w:pStyle w:val="24"/>
        <w:numPr>
          <w:numId w:val="0"/>
        </w:numPr>
        <w:spacing w:before="36" w:after="36"/>
        <w:rPr>
          <w:rFonts w:hint="eastAsia"/>
          <w:lang w:val="en-US" w:eastAsia="zh-CN"/>
        </w:rPr>
      </w:pPr>
    </w:p>
    <w:p w14:paraId="00E4AB0B">
      <w:pPr>
        <w:pStyle w:val="24"/>
        <w:numPr>
          <w:numId w:val="0"/>
        </w:numPr>
        <w:spacing w:before="36" w:after="36"/>
        <w:rPr>
          <w:rFonts w:hint="eastAsia"/>
          <w:lang w:val="en-US" w:eastAsia="zh-CN"/>
        </w:rPr>
      </w:pPr>
    </w:p>
    <w:p w14:paraId="2BC60B9D">
      <w:pPr>
        <w:pStyle w:val="24"/>
        <w:numPr>
          <w:numId w:val="0"/>
        </w:numPr>
        <w:spacing w:before="36" w:after="36"/>
        <w:rPr>
          <w:rFonts w:hint="eastAsia"/>
          <w:lang w:val="en-US" w:eastAsia="zh-CN"/>
        </w:rPr>
      </w:pPr>
    </w:p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410A5B43">
      <w:pPr>
        <w:pStyle w:val="24"/>
        <w:numPr>
          <w:numId w:val="0"/>
        </w:numPr>
        <w:spacing w:before="36" w:after="36"/>
        <w:rPr>
          <w:rFonts w:hint="eastAsia"/>
          <w:lang w:val="en-US" w:eastAsia="zh-CN"/>
        </w:rPr>
      </w:pPr>
      <w:bookmarkStart w:id="10" w:name="_GoBack"/>
      <w:bookmarkEnd w:id="10"/>
    </w:p>
    <w:bookmarkEnd w:id="9"/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A991"/>
    <w:multiLevelType w:val="multilevel"/>
    <w:tmpl w:val="0000A991"/>
    <w:lvl w:ilvl="0" w:tentative="0">
      <w:start w:val="0"/>
      <w:numFmt w:val="bullet"/>
      <w:lvlText w:val="•"/>
      <w:lvlJc w:val="left"/>
      <w:pPr>
        <w:ind w:left="720" w:hanging="480"/>
      </w:pPr>
    </w:lvl>
    <w:lvl w:ilvl="1" w:tentative="0">
      <w:start w:val="0"/>
      <w:numFmt w:val="bullet"/>
      <w:lvlText w:val="–"/>
      <w:lvlJc w:val="left"/>
      <w:pPr>
        <w:ind w:left="1440" w:hanging="480"/>
      </w:pPr>
    </w:lvl>
    <w:lvl w:ilvl="2" w:tentative="0">
      <w:start w:val="0"/>
      <w:numFmt w:val="bullet"/>
      <w:lvlText w:val="•"/>
      <w:lvlJc w:val="left"/>
      <w:pPr>
        <w:ind w:left="2160" w:hanging="480"/>
      </w:pPr>
    </w:lvl>
    <w:lvl w:ilvl="3" w:tentative="0">
      <w:start w:val="0"/>
      <w:numFmt w:val="bullet"/>
      <w:lvlText w:val="–"/>
      <w:lvlJc w:val="left"/>
      <w:pPr>
        <w:ind w:left="2880" w:hanging="480"/>
      </w:pPr>
    </w:lvl>
    <w:lvl w:ilvl="4" w:tentative="0">
      <w:start w:val="0"/>
      <w:numFmt w:val="bullet"/>
      <w:lvlText w:val="•"/>
      <w:lvlJc w:val="left"/>
      <w:pPr>
        <w:ind w:left="3600" w:hanging="480"/>
      </w:pPr>
    </w:lvl>
    <w:lvl w:ilvl="5" w:tentative="0">
      <w:start w:val="0"/>
      <w:numFmt w:val="bullet"/>
      <w:lvlText w:val="–"/>
      <w:lvlJc w:val="left"/>
      <w:pPr>
        <w:ind w:left="4320" w:hanging="480"/>
      </w:pPr>
    </w:lvl>
    <w:lvl w:ilvl="6" w:tentative="0">
      <w:start w:val="0"/>
      <w:numFmt w:val="bullet"/>
      <w:lvlText w:val="•"/>
      <w:lvlJc w:val="left"/>
      <w:pPr>
        <w:ind w:left="5040" w:hanging="480"/>
      </w:pPr>
    </w:lvl>
    <w:lvl w:ilvl="7" w:tentative="0">
      <w:start w:val="0"/>
      <w:numFmt w:val="bullet"/>
      <w:lvlText w:val="–"/>
      <w:lvlJc w:val="left"/>
      <w:pPr>
        <w:ind w:left="5760" w:hanging="480"/>
      </w:pPr>
    </w:lvl>
    <w:lvl w:ilvl="8" w:tentative="0">
      <w:start w:val="0"/>
      <w:numFmt w:val="bullet"/>
      <w:lvlText w:val="•"/>
      <w:lvlJc w:val="left"/>
      <w:pPr>
        <w:ind w:left="6480" w:hanging="480"/>
      </w:pPr>
    </w:lvl>
  </w:abstractNum>
  <w:abstractNum w:abstractNumId="1">
    <w:nsid w:val="00A99411"/>
    <w:multiLevelType w:val="multilevel"/>
    <w:tmpl w:val="00A99411"/>
    <w:lvl w:ilvl="0" w:tentative="0">
      <w:start w:val="1"/>
      <w:numFmt w:val="decimal"/>
      <w:lvlText w:val="%1."/>
      <w:lvlJc w:val="left"/>
      <w:pPr>
        <w:ind w:left="720" w:hanging="480"/>
      </w:pPr>
    </w:lvl>
    <w:lvl w:ilvl="1" w:tentative="0">
      <w:start w:val="1"/>
      <w:numFmt w:val="decimal"/>
      <w:lvlText w:val="%2."/>
      <w:lvlJc w:val="left"/>
      <w:pPr>
        <w:ind w:left="1440" w:hanging="480"/>
      </w:pPr>
    </w:lvl>
    <w:lvl w:ilvl="2" w:tentative="0">
      <w:start w:val="1"/>
      <w:numFmt w:val="decimal"/>
      <w:lvlText w:val="%3."/>
      <w:lvlJc w:val="left"/>
      <w:pPr>
        <w:ind w:left="2160" w:hanging="480"/>
      </w:pPr>
    </w:lvl>
    <w:lvl w:ilvl="3" w:tentative="0">
      <w:start w:val="1"/>
      <w:numFmt w:val="decimal"/>
      <w:lvlText w:val="%4."/>
      <w:lvlJc w:val="left"/>
      <w:pPr>
        <w:ind w:left="2880" w:hanging="480"/>
      </w:pPr>
    </w:lvl>
    <w:lvl w:ilvl="4" w:tentative="0">
      <w:start w:val="1"/>
      <w:numFmt w:val="decimal"/>
      <w:lvlText w:val="%5."/>
      <w:lvlJc w:val="left"/>
      <w:pPr>
        <w:ind w:left="3600" w:hanging="480"/>
      </w:pPr>
    </w:lvl>
    <w:lvl w:ilvl="5" w:tentative="0">
      <w:start w:val="1"/>
      <w:numFmt w:val="decimal"/>
      <w:lvlText w:val="%6."/>
      <w:lvlJc w:val="left"/>
      <w:pPr>
        <w:ind w:left="4320" w:hanging="480"/>
      </w:pPr>
    </w:lvl>
    <w:lvl w:ilvl="6" w:tentative="0">
      <w:start w:val="1"/>
      <w:numFmt w:val="decimal"/>
      <w:lvlText w:val="%7."/>
      <w:lvlJc w:val="left"/>
      <w:pPr>
        <w:ind w:left="5040" w:hanging="480"/>
      </w:pPr>
    </w:lvl>
    <w:lvl w:ilvl="7" w:tentative="0">
      <w:start w:val="1"/>
      <w:numFmt w:val="decimal"/>
      <w:lvlText w:val="%8."/>
      <w:lvlJc w:val="left"/>
      <w:pPr>
        <w:ind w:left="5760" w:hanging="480"/>
      </w:pPr>
    </w:lvl>
    <w:lvl w:ilvl="8" w:tentative="0">
      <w:start w:val="1"/>
      <w:numFmt w:val="decimal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FE63AD2"/>
    <w:rsid w:val="62465858"/>
    <w:rsid w:val="6FAE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" w:semiHidden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nhideWhenUsed="0" w:uiPriority="0" w:semiHidden="0" w:name="List 5"/>
    <w:lsdException w:uiPriority="0" w:name="List Bullet 2"/>
    <w:lsdException w:uiPriority="0" w:name="List Bullet 3"/>
    <w:lsdException w:unhideWhenUsed="0" w:uiPriority="0" w:semiHidden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qFormat="1" w:uiPriority="9" w:semiHidden="0" w:name="Block Text"/>
    <w:lsdException w:qFormat="1" w:unhideWhenUsed="0" w:uiPriority="0" w:semiHidden="0" w:name="Hyperlink"/>
    <w:lsdException w:uiPriority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Cs/>
      <w:i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Cs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</w:rPr>
  </w:style>
  <w:style w:type="character" w:default="1" w:styleId="19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180" w:after="180"/>
    </w:pPr>
  </w:style>
  <w:style w:type="paragraph" w:styleId="12">
    <w:name w:val="caption"/>
    <w:basedOn w:val="1"/>
    <w:next w:val="1"/>
    <w:link w:val="21"/>
    <w:qFormat/>
    <w:uiPriority w:val="0"/>
    <w:pPr>
      <w:spacing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left="480" w:right="480"/>
    </w:p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styleId="15">
    <w:name w:val="Subtitle"/>
    <w:basedOn w:val="16"/>
    <w:next w:val="3"/>
    <w:qFormat/>
    <w:uiPriority w:val="0"/>
    <w:pPr>
      <w:spacing w:before="240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4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题注 字符"/>
    <w:basedOn w:val="19"/>
    <w:link w:val="12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EastAsia" w:cstheme="minorBidi"/>
      <w:sz w:val="24"/>
      <w:szCs w:val="24"/>
      <w:lang w:val="en-US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书目1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bottom w:val="single" w:color="auto" w:sz="0" w:space="0"/>
        </w:tcBorders>
        <w:vAlign w:val="bottom"/>
      </w:tcPr>
    </w:tblStyle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qFormat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qFormat/>
    <w:uiPriority w:val="0"/>
    <w:pPr>
      <w:wordWrap w:val="0"/>
    </w:pPr>
  </w:style>
  <w:style w:type="character" w:customStyle="1" w:styleId="37">
    <w:name w:val="Section Number"/>
    <w:basedOn w:val="21"/>
    <w:qFormat/>
    <w:uiPriority w:val="0"/>
  </w:style>
  <w:style w:type="paragraph" w:customStyle="1" w:styleId="38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376092" w:themeColor="accent1" w:themeShade="BF"/>
    </w:rPr>
  </w:style>
  <w:style w:type="character" w:customStyle="1" w:styleId="39">
    <w:name w:val="KeywordTok"/>
    <w:basedOn w:val="35"/>
    <w:qFormat/>
    <w:uiPriority w:val="0"/>
    <w:rPr>
      <w:rFonts w:ascii="Consolas" w:hAnsi="Consolas"/>
      <w:b/>
      <w:color w:val="007020"/>
      <w:sz w:val="22"/>
    </w:rPr>
  </w:style>
  <w:style w:type="character" w:customStyle="1" w:styleId="40">
    <w:name w:val="DataTypeTok"/>
    <w:basedOn w:val="35"/>
    <w:qFormat/>
    <w:uiPriority w:val="0"/>
    <w:rPr>
      <w:rFonts w:ascii="Consolas" w:hAnsi="Consolas"/>
      <w:color w:val="902000"/>
      <w:sz w:val="22"/>
    </w:rPr>
  </w:style>
  <w:style w:type="character" w:customStyle="1" w:styleId="41">
    <w:name w:val="DecVal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2">
    <w:name w:val="BaseN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3">
    <w:name w:val="FloatTok"/>
    <w:basedOn w:val="35"/>
    <w:qFormat/>
    <w:uiPriority w:val="0"/>
    <w:rPr>
      <w:rFonts w:ascii="Consolas" w:hAnsi="Consolas"/>
      <w:color w:val="40A070"/>
      <w:sz w:val="22"/>
    </w:rPr>
  </w:style>
  <w:style w:type="character" w:customStyle="1" w:styleId="44">
    <w:name w:val="ConstantTok"/>
    <w:basedOn w:val="35"/>
    <w:qFormat/>
    <w:uiPriority w:val="0"/>
    <w:rPr>
      <w:rFonts w:ascii="Consolas" w:hAnsi="Consolas"/>
      <w:color w:val="880000"/>
      <w:sz w:val="22"/>
    </w:rPr>
  </w:style>
  <w:style w:type="character" w:customStyle="1" w:styleId="45">
    <w:name w:val="Char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6">
    <w:name w:val="SpecialChar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7">
    <w:name w:val="String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8">
    <w:name w:val="VerbatimStringTok"/>
    <w:basedOn w:val="35"/>
    <w:qFormat/>
    <w:uiPriority w:val="0"/>
    <w:rPr>
      <w:rFonts w:ascii="Consolas" w:hAnsi="Consolas"/>
      <w:color w:val="4070A0"/>
      <w:sz w:val="22"/>
    </w:rPr>
  </w:style>
  <w:style w:type="character" w:customStyle="1" w:styleId="49">
    <w:name w:val="SpecialStringTok"/>
    <w:basedOn w:val="35"/>
    <w:qFormat/>
    <w:uiPriority w:val="0"/>
    <w:rPr>
      <w:rFonts w:ascii="Consolas" w:hAnsi="Consolas"/>
      <w:color w:val="BB6688"/>
      <w:sz w:val="22"/>
    </w:rPr>
  </w:style>
  <w:style w:type="character" w:customStyle="1" w:styleId="50">
    <w:name w:val="ImportTok"/>
    <w:basedOn w:val="35"/>
    <w:qFormat/>
    <w:uiPriority w:val="0"/>
    <w:rPr>
      <w:rFonts w:ascii="Consolas" w:hAnsi="Consolas"/>
      <w:b/>
      <w:color w:val="008000"/>
      <w:sz w:val="22"/>
    </w:rPr>
  </w:style>
  <w:style w:type="character" w:customStyle="1" w:styleId="51">
    <w:name w:val="CommentTok"/>
    <w:basedOn w:val="35"/>
    <w:qFormat/>
    <w:uiPriority w:val="0"/>
    <w:rPr>
      <w:rFonts w:ascii="Consolas" w:hAnsi="Consolas"/>
      <w:i/>
      <w:color w:val="60A0B0"/>
      <w:sz w:val="22"/>
    </w:rPr>
  </w:style>
  <w:style w:type="character" w:customStyle="1" w:styleId="52">
    <w:name w:val="DocumentationTok"/>
    <w:basedOn w:val="35"/>
    <w:qFormat/>
    <w:uiPriority w:val="0"/>
    <w:rPr>
      <w:rFonts w:ascii="Consolas" w:hAnsi="Consolas"/>
      <w:i/>
      <w:color w:val="BA2121"/>
      <w:sz w:val="22"/>
    </w:rPr>
  </w:style>
  <w:style w:type="character" w:customStyle="1" w:styleId="53">
    <w:name w:val="Annotation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54">
    <w:name w:val="CommentVar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55">
    <w:name w:val="OtherTok"/>
    <w:basedOn w:val="35"/>
    <w:qFormat/>
    <w:uiPriority w:val="0"/>
    <w:rPr>
      <w:rFonts w:ascii="Consolas" w:hAnsi="Consolas"/>
      <w:color w:val="007020"/>
      <w:sz w:val="22"/>
    </w:rPr>
  </w:style>
  <w:style w:type="character" w:customStyle="1" w:styleId="56">
    <w:name w:val="FunctionTok"/>
    <w:basedOn w:val="35"/>
    <w:qFormat/>
    <w:uiPriority w:val="0"/>
    <w:rPr>
      <w:rFonts w:ascii="Consolas" w:hAnsi="Consolas"/>
      <w:color w:val="06287E"/>
      <w:sz w:val="22"/>
    </w:rPr>
  </w:style>
  <w:style w:type="character" w:customStyle="1" w:styleId="57">
    <w:name w:val="VariableTok"/>
    <w:basedOn w:val="35"/>
    <w:qFormat/>
    <w:uiPriority w:val="0"/>
    <w:rPr>
      <w:rFonts w:ascii="Consolas" w:hAnsi="Consolas"/>
      <w:color w:val="19177C"/>
      <w:sz w:val="22"/>
    </w:rPr>
  </w:style>
  <w:style w:type="character" w:customStyle="1" w:styleId="58">
    <w:name w:val="ControlFlowTok"/>
    <w:basedOn w:val="35"/>
    <w:qFormat/>
    <w:uiPriority w:val="0"/>
    <w:rPr>
      <w:rFonts w:ascii="Consolas" w:hAnsi="Consolas"/>
      <w:b/>
      <w:color w:val="007020"/>
      <w:sz w:val="22"/>
    </w:rPr>
  </w:style>
  <w:style w:type="character" w:customStyle="1" w:styleId="59">
    <w:name w:val="OperatorTok"/>
    <w:basedOn w:val="35"/>
    <w:qFormat/>
    <w:uiPriority w:val="0"/>
    <w:rPr>
      <w:rFonts w:ascii="Consolas" w:hAnsi="Consolas"/>
      <w:color w:val="666666"/>
      <w:sz w:val="22"/>
    </w:rPr>
  </w:style>
  <w:style w:type="character" w:customStyle="1" w:styleId="60">
    <w:name w:val="BuiltInTok"/>
    <w:basedOn w:val="35"/>
    <w:qFormat/>
    <w:uiPriority w:val="0"/>
    <w:rPr>
      <w:rFonts w:ascii="Consolas" w:hAnsi="Consolas"/>
      <w:color w:val="008000"/>
      <w:sz w:val="22"/>
    </w:rPr>
  </w:style>
  <w:style w:type="character" w:customStyle="1" w:styleId="61">
    <w:name w:val="ExtensionTok"/>
    <w:basedOn w:val="35"/>
    <w:qFormat/>
    <w:uiPriority w:val="0"/>
    <w:rPr>
      <w:rFonts w:ascii="Consolas" w:hAnsi="Consolas"/>
      <w:sz w:val="22"/>
    </w:rPr>
  </w:style>
  <w:style w:type="character" w:customStyle="1" w:styleId="62">
    <w:name w:val="PreprocessorTok"/>
    <w:basedOn w:val="35"/>
    <w:qFormat/>
    <w:uiPriority w:val="0"/>
    <w:rPr>
      <w:rFonts w:ascii="Consolas" w:hAnsi="Consolas"/>
      <w:color w:val="BC7A00"/>
      <w:sz w:val="22"/>
    </w:rPr>
  </w:style>
  <w:style w:type="character" w:customStyle="1" w:styleId="63">
    <w:name w:val="AttributeTok"/>
    <w:basedOn w:val="35"/>
    <w:uiPriority w:val="0"/>
    <w:rPr>
      <w:rFonts w:ascii="Consolas" w:hAnsi="Consolas"/>
      <w:color w:val="7D9029"/>
      <w:sz w:val="22"/>
    </w:rPr>
  </w:style>
  <w:style w:type="character" w:customStyle="1" w:styleId="64">
    <w:name w:val="RegionMarkerTok"/>
    <w:basedOn w:val="35"/>
    <w:uiPriority w:val="0"/>
    <w:rPr>
      <w:rFonts w:ascii="Consolas" w:hAnsi="Consolas"/>
      <w:sz w:val="22"/>
    </w:rPr>
  </w:style>
  <w:style w:type="character" w:customStyle="1" w:styleId="65">
    <w:name w:val="Information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6">
    <w:name w:val="WarningTok"/>
    <w:basedOn w:val="35"/>
    <w:qFormat/>
    <w:uiPriority w:val="0"/>
    <w:rPr>
      <w:rFonts w:ascii="Consolas" w:hAnsi="Consolas"/>
      <w:b/>
      <w:i/>
      <w:color w:val="60A0B0"/>
      <w:sz w:val="22"/>
    </w:rPr>
  </w:style>
  <w:style w:type="character" w:customStyle="1" w:styleId="67">
    <w:name w:val="AlertTok"/>
    <w:basedOn w:val="35"/>
    <w:uiPriority w:val="0"/>
    <w:rPr>
      <w:rFonts w:ascii="Consolas" w:hAnsi="Consolas"/>
      <w:b/>
      <w:color w:val="FF0000"/>
      <w:sz w:val="22"/>
    </w:rPr>
  </w:style>
  <w:style w:type="character" w:customStyle="1" w:styleId="68">
    <w:name w:val="ErrorTok"/>
    <w:basedOn w:val="35"/>
    <w:qFormat/>
    <w:uiPriority w:val="0"/>
    <w:rPr>
      <w:rFonts w:ascii="Consolas" w:hAnsi="Consolas"/>
      <w:b/>
      <w:color w:val="FF0000"/>
      <w:sz w:val="22"/>
    </w:rPr>
  </w:style>
  <w:style w:type="character" w:customStyle="1" w:styleId="69">
    <w:name w:val="NormalTok"/>
    <w:basedOn w:val="35"/>
    <w:qFormat/>
    <w:uiPriority w:val="0"/>
    <w:rPr>
      <w:rFonts w:ascii="Consolas" w:hAnsi="Consolas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2875</Words>
  <Characters>2916</Characters>
  <Lines>9</Lines>
  <Paragraphs>2</Paragraphs>
  <TotalTime>0</TotalTime>
  <ScaleCrop>false</ScaleCrop>
  <LinksUpToDate>false</LinksUpToDate>
  <CharactersWithSpaces>2916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2025-01-23T01:09:00Z</dcterms:created>
  <dc:creator>旧时歌谣</dc:creator>
  <cp:lastModifiedBy>张军</cp:lastModifiedBy>
  <dcterms:modified xsi:type="dcterms:W3CDTF">2025-01-28T12:33:54Z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eyJoZGlkIjoiYmIxZjRjNmJlZjNhMmIwYTNkNTBjZWU4Njk4YTBkYWIiLCJ1c2VySWQiOiIyNTgxOTczNDcifQ==</vt:lpwstr>
  </property>
  <property fmtid="{D5CDD505-2E9C-101B-9397-08002B2CF9AE}" pid="3" name="KSOProductBuildVer">
    <vt:lpwstr>2052-12.1.0.19302</vt:lpwstr>
  </property>
  <property fmtid="{D5CDD505-2E9C-101B-9397-08002B2CF9AE}" pid="4" name="ICV">
    <vt:lpwstr>C0456A7C1394465DAD4FBFE07231B150_12</vt:lpwstr>
  </property>
</Properties>
</file>