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全自动电化学发光分析仪参数要求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检测原理：电化学发光免疫分析原理，采用化学发光物直接标记的方法,链酶亲和素-生物素包被技术，磁性分离技术。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同时能开展项目数量≥60项：涵盖肿瘤标志物、心脏标志物、甲状腺功能、生殖激素、炎症、糖代谢、贫血等项目。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检测方法及速度：批及随机检测，可做急诊样品，测定第一个样品出结果的时间≤20分钟，每小时测定结果≥150项。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急诊功能：可提供急诊项目，检测时间≤10分钟。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加样使用一次性TIP头，自动更换反应杯及吸头。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单模块试剂通道≥40个，有≥40个恒温试剂位。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自动化配置：配备试剂自动装载模块，全自动装载试剂和耗材，试剂芯片，仪器自动扫描试剂芯片。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采用轨道进样方式，使用符合国际标准的五管架，一次性进样≥150标本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仪器功能：自动稀释、自动重测、可原试管上机、检测精度/重复性CV≤5%。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试剂盒盖自动开关，减少试剂蒸发量, 增加试剂稳定性，试剂上机稳定期≥8周。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任意高度的液面感应和凝块气泡，自动探查，二点定标，试剂定标稳定期≥4周。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拓展功能：可联接发光模块实现扩展，发光模块测试速度最大可扩展至≥1000测试/小时。 </w:t>
      </w:r>
    </w:p>
    <w:p>
      <w:pPr>
        <w:numPr>
          <w:ilvl w:val="0"/>
          <w:numId w:val="1"/>
        </w:numPr>
        <w:spacing w:line="480" w:lineRule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使用ASTM标准模式的单向、双向接口。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/>
        <w:jc w:val="left"/>
        <w:textAlignment w:val="auto"/>
        <w:rPr>
          <w:rFonts w:hint="default" w:ascii="宋体" w:hAnsi="宋体" w:cs="宋体"/>
          <w:bCs/>
          <w:sz w:val="32"/>
          <w:szCs w:val="32"/>
          <w:lang w:val="en-US" w:eastAsia="zh-CN"/>
        </w:rPr>
      </w:pPr>
      <w:r>
        <w:rPr>
          <w:rFonts w:hint="default" w:ascii="宋体" w:hAnsi="宋体" w:cs="宋体"/>
          <w:bCs/>
          <w:sz w:val="32"/>
          <w:szCs w:val="32"/>
          <w:lang w:val="en-US" w:eastAsia="zh-CN"/>
        </w:rPr>
        <w:t>14.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售后服务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14.1设备使用期5-8年，设备的生产日期和合同签订的时间间隔不大于6个月。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14.2.</w:t>
      </w:r>
      <w:bookmarkStart w:id="0" w:name="OLE_LINK3"/>
      <w:bookmarkStart w:id="1" w:name="OLE_LINK5"/>
      <w:bookmarkStart w:id="2" w:name="OLE_LINK2"/>
      <w:bookmarkStart w:id="3" w:name="OLE_LINK4"/>
      <w:r>
        <w:rPr>
          <w:rFonts w:hint="eastAsia" w:ascii="宋体" w:hAnsi="宋体"/>
          <w:sz w:val="32"/>
          <w:szCs w:val="32"/>
          <w:lang w:val="en-US" w:eastAsia="zh-CN"/>
        </w:rPr>
        <w:t>整机免费质保3年以上；设备设计使用的耗材必须为开放的耗材，并提供阳光网能点配价格，验收时提供三种以上的耗材使用进行验收。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14.3.验收同时提供纸质版和电子版产品说明书。</w:t>
      </w:r>
      <w:bookmarkEnd w:id="0"/>
      <w:bookmarkEnd w:id="1"/>
      <w:bookmarkEnd w:id="2"/>
      <w:bookmarkEnd w:id="3"/>
      <w:r>
        <w:rPr>
          <w:rFonts w:hint="eastAsia" w:ascii="宋体" w:hAnsi="宋体"/>
          <w:sz w:val="32"/>
          <w:szCs w:val="32"/>
          <w:lang w:val="en-US" w:eastAsia="zh-CN"/>
        </w:rPr>
        <w:t>供货时应同时附上中文使用说明书（包括纸质版和电子版）。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20" w:lineRule="auto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14.4.</w:t>
      </w:r>
      <w:bookmarkStart w:id="4" w:name="OLE_LINK7"/>
      <w:bookmarkStart w:id="5" w:name="OLE_LINK6"/>
      <w:r>
        <w:rPr>
          <w:rFonts w:hint="eastAsia" w:ascii="宋体" w:hAnsi="宋体"/>
          <w:sz w:val="32"/>
          <w:szCs w:val="32"/>
          <w:lang w:val="en-US" w:eastAsia="zh-CN"/>
        </w:rPr>
        <w:t>为确保设备的售后服务质量，乙方必须提供其厂家免费质保三年的售后服务承诺书，包括设备厂家提供产品的终身免费升级服务。</w:t>
      </w:r>
      <w:bookmarkEnd w:id="4"/>
      <w:bookmarkEnd w:id="5"/>
    </w:p>
    <w:p>
      <w:pPr>
        <w:pStyle w:val="2"/>
        <w:ind w:firstLine="320" w:firstLineChars="100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14.5.设备数据涉及接入我院HIS网络的，验收时按我院要求能查询到HIS网络数据，产生的费用全部由中标方承担。</w:t>
      </w:r>
    </w:p>
    <w:p>
      <w:pPr>
        <w:pStyle w:val="2"/>
        <w:ind w:firstLine="320" w:firstLineChars="100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>
      <w:pPr>
        <w:pStyle w:val="2"/>
        <w:ind w:firstLine="320" w:firstLineChars="100"/>
        <w:rPr>
          <w:rFonts w:hint="default" w:ascii="宋体" w:hAnsi="宋体"/>
          <w:sz w:val="32"/>
          <w:szCs w:val="32"/>
          <w:lang w:val="en-US" w:eastAsia="zh-CN"/>
        </w:rPr>
      </w:pPr>
      <w:bookmarkStart w:id="6" w:name="_GoBack"/>
      <w:bookmarkEnd w:id="6"/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E63DA"/>
    <w:multiLevelType w:val="multilevel"/>
    <w:tmpl w:val="48BE63D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OTIyM2JhNzg1ODU1MmFjMmE2ZjU3MjMwZmQ0OGMifQ=="/>
  </w:docVars>
  <w:rsids>
    <w:rsidRoot w:val="1DFD6CE4"/>
    <w:rsid w:val="06044CC1"/>
    <w:rsid w:val="123E0F72"/>
    <w:rsid w:val="1DFD6CE4"/>
    <w:rsid w:val="235B7678"/>
    <w:rsid w:val="5AD14A9D"/>
    <w:rsid w:val="69676C3A"/>
    <w:rsid w:val="6FB3610E"/>
    <w:rsid w:val="7107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508</Characters>
  <Lines>0</Lines>
  <Paragraphs>0</Paragraphs>
  <TotalTime>0</TotalTime>
  <ScaleCrop>false</ScaleCrop>
  <LinksUpToDate>false</LinksUpToDate>
  <CharactersWithSpaces>511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2024-12-30T07:08:00Z</dcterms:created>
  <dc:creator>Administrator</dc:creator>
  <cp:lastModifiedBy>张军</cp:lastModifiedBy>
  <dcterms:modified xsi:type="dcterms:W3CDTF">2025-02-05T07:30:05Z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01CE1FC369C54A219679A8B7999932EC</vt:lpwstr>
  </property>
</Properties>
</file>