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精子质量分析仪技术参数</w:t>
      </w:r>
    </w:p>
    <w:p>
      <w:pPr>
        <w:spacing w:line="300" w:lineRule="exact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产品组成及资质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设备为一体机，包含生物显微镜，计算机系统，温控系统，电源系统，精子计数池，精子质量分析管理软件。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检测项目涵盖精子检测动力学分析、形态学分析、DNA损伤分析功能。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hint="eastAsia" w:ascii="宋体" w:hAnsi="宋体" w:cs="宋体"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</w:rPr>
        <w:t>内置生物显微镜为电动相衬显微镜，需具备独立的医疗器械注册证（非改装）。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设备符合医用设备电磁兼容、电气环境、电气安全国家强制标准的要求，并通过医疗器械检验所检测。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  <w:bCs/>
        </w:rPr>
        <w:t>产品须通过不少于3种体系认证（需提供体系认证证书）</w:t>
      </w:r>
    </w:p>
    <w:p>
      <w:pPr>
        <w:pStyle w:val="6"/>
        <w:numPr>
          <w:ilvl w:val="0"/>
          <w:numId w:val="2"/>
        </w:numPr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#产品符合《YY∕T1795-2021精子质量分析仪》行业标准（需提供第三方证明）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显微镜自动控制功能</w:t>
      </w:r>
    </w:p>
    <w:p>
      <w:pPr>
        <w:pStyle w:val="6"/>
        <w:numPr>
          <w:ilvl w:val="0"/>
          <w:numId w:val="3"/>
        </w:numPr>
        <w:spacing w:line="300" w:lineRule="exact"/>
        <w:ind w:left="426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显微镜可自动扫描、自动聚焦采集精子动态视频与静态图像，已拍摄图像视野可坐标追溯；</w:t>
      </w:r>
    </w:p>
    <w:p>
      <w:pPr>
        <w:pStyle w:val="6"/>
        <w:numPr>
          <w:ilvl w:val="0"/>
          <w:numId w:val="3"/>
        </w:numPr>
        <w:spacing w:line="300" w:lineRule="exact"/>
        <w:ind w:left="426" w:firstLineChars="0"/>
        <w:rPr>
          <w:rFonts w:hint="eastAsia" w:ascii="宋体" w:hAnsi="宋体" w:cs="宋体"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</w:rPr>
        <w:t>在软件控制下，显微镜可自动物镜转换，其重复性误差不大于0.015mm；(需提供显微镜检测报告)</w:t>
      </w:r>
    </w:p>
    <w:p>
      <w:pPr>
        <w:pStyle w:val="6"/>
        <w:numPr>
          <w:ilvl w:val="0"/>
          <w:numId w:val="3"/>
        </w:numPr>
        <w:spacing w:line="300" w:lineRule="exact"/>
        <w:ind w:left="426" w:firstLineChars="0"/>
        <w:rPr>
          <w:rFonts w:hint="eastAsia" w:ascii="宋体" w:hAnsi="宋体" w:cs="宋体"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</w:rPr>
        <w:t>在软件控制下，载物台自动在XYZ方向移动；载物台移动最小步距：X轴≤0.002mm, Y轴≤0.002mm；(需提供显微镜检测报告)</w:t>
      </w:r>
    </w:p>
    <w:p>
      <w:pPr>
        <w:pStyle w:val="6"/>
        <w:numPr>
          <w:ilvl w:val="0"/>
          <w:numId w:val="3"/>
        </w:numPr>
        <w:spacing w:line="300" w:lineRule="exact"/>
        <w:ind w:left="426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光源自动调节；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恒温控制功能</w:t>
      </w:r>
    </w:p>
    <w:p>
      <w:pPr>
        <w:spacing w:line="3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温控范围：37.0℃±0.5℃范围内，软件显示温度与恒温板实测温度的误差为±0.2℃。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软通用功能：</w:t>
      </w:r>
    </w:p>
    <w:p>
      <w:pPr>
        <w:pStyle w:val="6"/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宋体" w:hAnsi="宋体" w:cs="宋体"/>
        </w:rPr>
        <w:t>1）</w:t>
      </w: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  <w:bCs/>
        </w:rPr>
        <w:t>界面语言支持中英文切换</w:t>
      </w:r>
    </w:p>
    <w:p>
      <w:pPr>
        <w:spacing w:line="30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2）可任意切换世界卫生组织人类精液检查与处理实验室手册第四版、第五版和</w:t>
      </w:r>
    </w:p>
    <w:p>
      <w:pPr>
        <w:pStyle w:val="6"/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第六版的标准</w:t>
      </w:r>
    </w:p>
    <w:p>
      <w:pPr>
        <w:pStyle w:val="6"/>
        <w:spacing w:line="300" w:lineRule="exact"/>
        <w:ind w:firstLine="0" w:firstLineChars="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3）</w:t>
      </w: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  <w:bCs/>
        </w:rPr>
        <w:t>软件具备Photoshop功能可对精子图像进行文字和图形标注。</w:t>
      </w:r>
    </w:p>
    <w:p>
      <w:pPr>
        <w:pStyle w:val="6"/>
        <w:spacing w:line="300" w:lineRule="exact"/>
        <w:ind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4）</w:t>
      </w:r>
      <w:r>
        <w:rPr>
          <w:rFonts w:ascii="宋体" w:hAnsi="宋体" w:cs="宋体"/>
          <w:bCs/>
        </w:rPr>
        <w:t>病例统计功能具有10种统计方式及6种统计结果显示方式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精子质量常规分析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可在明场和相衬条件下进行动力学分析，自动扫描并自动分析视野，精子自动识别，其符合率≥95%。（提供检测报告）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ascii="宋体" w:hAnsi="宋体" w:cs="宋体"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</w:rPr>
        <w:t>精子前向运动PR符合率≥99%；（提供检测报告）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分析仪进行自动聚焦采集图像，精子静态图像清晰率≥96%（提供检测报告）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精子非前向运动NP符合率≥94%；（提供检测报告）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精子不活动IM符合率≥99%。（提供检测报告）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可在明场和相衬条件下，进行精子活力a级、b级、NP、IM、PR分级及总活力（PR+NP）分级，其符合率均≥99%。（提供检测报告）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可在明场和相衬条件下，进行精子浓度分析，其符合率≥90%。（提供检测报告）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可在明场和相衬条件下，进行动力学分析，单标本的分析时间≤60秒。</w:t>
      </w:r>
    </w:p>
    <w:p>
      <w:pPr>
        <w:pStyle w:val="6"/>
        <w:numPr>
          <w:ilvl w:val="0"/>
          <w:numId w:val="4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微软雅黑" w:hAnsi="微软雅黑" w:eastAsia="微软雅黑"/>
          <w:sz w:val="24"/>
        </w:rPr>
        <w:t>#</w:t>
      </w:r>
      <w:r>
        <w:rPr>
          <w:rFonts w:hint="eastAsia" w:ascii="宋体" w:hAnsi="宋体" w:cs="宋体"/>
        </w:rPr>
        <w:t>样本检测量≤2ul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精子形态学分析</w:t>
      </w:r>
    </w:p>
    <w:p>
      <w:pPr>
        <w:pStyle w:val="6"/>
        <w:numPr>
          <w:ilvl w:val="0"/>
          <w:numId w:val="5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自动扫描并自动分析视野，精子自动识别，头部异常精子个数符合率≥95%（提供检测报告）</w:t>
      </w:r>
    </w:p>
    <w:p>
      <w:pPr>
        <w:pStyle w:val="6"/>
        <w:numPr>
          <w:ilvl w:val="0"/>
          <w:numId w:val="5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精子杂质误认率≤1%（提供检测报告）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质控功能</w:t>
      </w:r>
    </w:p>
    <w:p>
      <w:pPr>
        <w:pStyle w:val="6"/>
        <w:numPr>
          <w:ilvl w:val="0"/>
          <w:numId w:val="6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可进行95%可信区间检验</w:t>
      </w:r>
    </w:p>
    <w:p>
      <w:pPr>
        <w:pStyle w:val="6"/>
        <w:numPr>
          <w:ilvl w:val="0"/>
          <w:numId w:val="6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能自动保存质控结果，绘制月度质控图曲线，并打印输出。</w:t>
      </w:r>
    </w:p>
    <w:p>
      <w:pPr>
        <w:pStyle w:val="6"/>
        <w:numPr>
          <w:ilvl w:val="0"/>
          <w:numId w:val="6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支持精子动力学活力质控视频录制，可对第三方录制的质控视频载入并进行分析检测；</w:t>
      </w:r>
    </w:p>
    <w:p>
      <w:pPr>
        <w:pStyle w:val="6"/>
        <w:numPr>
          <w:ilvl w:val="0"/>
          <w:numId w:val="6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自动生成XBar图、SBar图，人员差异质控图（BLand-ALtman图；Youden图）；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重复性</w:t>
      </w:r>
    </w:p>
    <w:p>
      <w:pPr>
        <w:pStyle w:val="6"/>
        <w:numPr>
          <w:ilvl w:val="0"/>
          <w:numId w:val="7"/>
        </w:numPr>
        <w:spacing w:line="300" w:lineRule="exact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明场和相衬下进行精子浓度分析，检测结果的变异系数（CV,%）≤2%。（提供检测报告）</w:t>
      </w:r>
    </w:p>
    <w:p>
      <w:pPr>
        <w:pStyle w:val="6"/>
        <w:numPr>
          <w:ilvl w:val="0"/>
          <w:numId w:val="7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精子形态学分析计数精子数，检测结果的变异系数（CV,%）≤5%（提供检测报告）</w:t>
      </w:r>
    </w:p>
    <w:p>
      <w:pPr>
        <w:spacing w:line="30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2)  精子DNA损伤分析计数精子数，检测结果的变异系数（CV,%）≤5%。（提供检测报告）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稳定性</w:t>
      </w:r>
    </w:p>
    <w:p>
      <w:pPr>
        <w:pStyle w:val="6"/>
        <w:numPr>
          <w:ilvl w:val="0"/>
          <w:numId w:val="8"/>
        </w:numPr>
        <w:spacing w:line="300" w:lineRule="exact"/>
        <w:ind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开机8小时内明场和相衬下进行浓度分析，检测结果的变异系数（CV,%）≤3%。（提供检测报告）</w:t>
      </w:r>
    </w:p>
    <w:p>
      <w:pPr>
        <w:pStyle w:val="6"/>
        <w:numPr>
          <w:ilvl w:val="0"/>
          <w:numId w:val="8"/>
        </w:numPr>
        <w:spacing w:line="300" w:lineRule="exact"/>
        <w:ind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开机8小时内精子形态学分析计数精子数，检测结果的变异系数（CV,%）≤5%（提供检测报告）</w:t>
      </w:r>
    </w:p>
    <w:p>
      <w:pPr>
        <w:spacing w:line="30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3)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开机8小时内精子DNA损伤分析计数精子数，检测结果的变异系数（CV,%）≤5%。（提供检测报告）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数据库管理</w:t>
      </w:r>
    </w:p>
    <w:p>
      <w:pPr>
        <w:spacing w:line="30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采用SQL SERVER数据库管理系统，数据存储量大，稳定可靠。软件人性化开放式设计，报告及检验项目可根据用户需求增添修改，打印报告格式可自定义设计输出。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hint="eastAsia" w:ascii="宋体" w:hAnsi="宋体" w:cs="宋体"/>
          <w:b/>
        </w:rPr>
      </w:pPr>
      <w:bookmarkStart w:id="0" w:name="_GoBack"/>
      <w:bookmarkEnd w:id="0"/>
      <w:r>
        <w:rPr>
          <w:rFonts w:hint="eastAsia" w:ascii="宋体" w:hAnsi="宋体" w:cs="宋体"/>
          <w:b/>
        </w:rPr>
        <w:t>检验报告</w:t>
      </w:r>
    </w:p>
    <w:p>
      <w:pPr>
        <w:pStyle w:val="6"/>
        <w:spacing w:line="300" w:lineRule="exact"/>
        <w:ind w:left="420"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报告项目全开放、可编辑，除固定项目外，可报告项目包括精液理学性状类、精子显微镜动力学分析类、形态学分析类、DNA损伤分析类、精子功能实验类、化学分析类及免疫分析类等。</w:t>
      </w:r>
    </w:p>
    <w:p>
      <w:pPr>
        <w:spacing w:line="360" w:lineRule="auto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</w:rPr>
        <w:t>1</w:t>
      </w:r>
      <w:r>
        <w:rPr>
          <w:rFonts w:hint="eastAsia" w:ascii="宋体" w:hAnsi="宋体" w:cs="宋体"/>
          <w:b/>
          <w:color w:val="000000"/>
          <w:kern w:val="0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</w:rPr>
        <w:t>.</w:t>
      </w:r>
      <w:r>
        <w:rPr>
          <w:rFonts w:hint="eastAsia" w:ascii="宋体" w:hAnsi="宋体" w:cs="宋体"/>
          <w:color w:val="000000"/>
          <w:kern w:val="0"/>
        </w:rPr>
        <w:t>具有LIS导出功能，方便进行LIS联网。</w:t>
      </w:r>
    </w:p>
    <w:p>
      <w:pPr>
        <w:spacing w:line="300" w:lineRule="exact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19" w:right="1800" w:bottom="426" w:left="1800" w:header="426" w:footer="4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space"/>
      <w:lvlText w:val="%1）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3"/>
    <w:multiLevelType w:val="multilevel"/>
    <w:tmpl w:val="00000003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0000004"/>
    <w:multiLevelType w:val="multilevel"/>
    <w:tmpl w:val="00000004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00000005"/>
    <w:multiLevelType w:val="multilevel"/>
    <w:tmpl w:val="00000005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6"/>
    <w:multiLevelType w:val="multilevel"/>
    <w:tmpl w:val="00000006"/>
    <w:lvl w:ilvl="0" w:tentative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7"/>
    <w:multiLevelType w:val="multilevel"/>
    <w:tmpl w:val="00000007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85B8F"/>
    <w:rsid w:val="3BA20D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1415</Words>
  <Characters>1568</Characters>
  <Paragraphs>66</Paragraphs>
  <TotalTime>137</TotalTime>
  <ScaleCrop>false</ScaleCrop>
  <LinksUpToDate>false</LinksUpToDate>
  <CharactersWithSpaces>1575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2018-07-26T09:01:00Z</dcterms:created>
  <dc:creator>涂旷</dc:creator>
  <cp:lastModifiedBy>Administrator</cp:lastModifiedBy>
  <cp:lastPrinted>2020-05-25T01:50:00Z</cp:lastPrinted>
  <dcterms:modified xsi:type="dcterms:W3CDTF">2024-08-15T07:21:41Z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9b6cc1d8e6b645ac80cc49429bb82df9_23</vt:lpwstr>
  </property>
</Properties>
</file>